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C0" w:rsidRDefault="00FC22C0">
      <w:pPr>
        <w:rPr>
          <w:lang w:val="en-US"/>
        </w:rPr>
      </w:pPr>
    </w:p>
    <w:p w:rsidR="00B42356" w:rsidRDefault="00B42356" w:rsidP="00B42356">
      <w:pPr>
        <w:pStyle w:val="Default"/>
      </w:pPr>
    </w:p>
    <w:p w:rsidR="00B42356" w:rsidRDefault="00B42356" w:rsidP="004C20AB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Principii ce rezultă din jurisprudența CEDO în cauzele privind neexecutarea hotărârilor judecătorești pronunțate împotriva unui debitor public</w:t>
      </w:r>
    </w:p>
    <w:p w:rsidR="004C20AB" w:rsidRDefault="004C20AB" w:rsidP="004C20AB">
      <w:pPr>
        <w:pStyle w:val="Default"/>
        <w:jc w:val="center"/>
        <w:rPr>
          <w:sz w:val="20"/>
          <w:szCs w:val="20"/>
        </w:rPr>
      </w:pP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Administraţia constituie un element al statului de drept, interesul său fiind identic cu cel al unei bune administrări a justiţiei. </w:t>
      </w:r>
      <w:r>
        <w:rPr>
          <w:b/>
          <w:bCs/>
          <w:sz w:val="20"/>
          <w:szCs w:val="20"/>
        </w:rPr>
        <w:t xml:space="preserve">Dacă administraţia refuză sau omite să execute o hotărâre judecătorească ori întârzie în executarea acesteia, garanţiile art. 6 din Convenție de care a beneficiat justiţiabilul în faţa instanţelor judecătoreşti îşi pierd orice raţiune de a fi.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Pasivitatea creditorului nu poate constitui o justificare </w:t>
      </w:r>
      <w:r>
        <w:rPr>
          <w:sz w:val="20"/>
          <w:szCs w:val="20"/>
        </w:rPr>
        <w:t xml:space="preserve">pentru neexecutarea unei hotărâri deoarece </w:t>
      </w:r>
      <w:r>
        <w:rPr>
          <w:b/>
          <w:bCs/>
          <w:sz w:val="20"/>
          <w:szCs w:val="20"/>
        </w:rPr>
        <w:t>nu este rezonabil să-i ceri unei persoane</w:t>
      </w:r>
      <w:r>
        <w:rPr>
          <w:sz w:val="20"/>
          <w:szCs w:val="20"/>
        </w:rPr>
        <w:t xml:space="preserve">, care în urma unei proceduri judiciare a obţinut o hotărâre împotriva statului, </w:t>
      </w:r>
      <w:r>
        <w:rPr>
          <w:b/>
          <w:bCs/>
          <w:sz w:val="20"/>
          <w:szCs w:val="20"/>
        </w:rPr>
        <w:t xml:space="preserve">să recurgă la procedura de executare silită sau să intenteze noi acţiuni </w:t>
      </w:r>
      <w:r>
        <w:rPr>
          <w:sz w:val="20"/>
          <w:szCs w:val="20"/>
        </w:rPr>
        <w:t xml:space="preserve">împotriva autorităţii pentru a obţine executarea obligaţiei în cauză.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În unele cazuri este necesar ca </w:t>
      </w:r>
      <w:r>
        <w:rPr>
          <w:b/>
          <w:bCs/>
          <w:sz w:val="20"/>
          <w:szCs w:val="20"/>
        </w:rPr>
        <w:t xml:space="preserve">creditorul să efectueze anumite demersuri procedurale </w:t>
      </w:r>
      <w:r>
        <w:rPr>
          <w:sz w:val="20"/>
          <w:szCs w:val="20"/>
        </w:rPr>
        <w:t xml:space="preserve">care să permită sau să accelereze executarea unei hotărâri. </w:t>
      </w:r>
      <w:r>
        <w:rPr>
          <w:b/>
          <w:bCs/>
          <w:sz w:val="20"/>
          <w:szCs w:val="20"/>
        </w:rPr>
        <w:t>Obligaţia de cooperare</w:t>
      </w:r>
      <w:r>
        <w:rPr>
          <w:sz w:val="20"/>
          <w:szCs w:val="20"/>
        </w:rPr>
        <w:t xml:space="preserve">, care îi revine unei persoane, </w:t>
      </w:r>
      <w:r>
        <w:rPr>
          <w:b/>
          <w:bCs/>
          <w:sz w:val="20"/>
          <w:szCs w:val="20"/>
        </w:rPr>
        <w:t xml:space="preserve">nu trebuie să depăşească totuşi strictul necesar </w:t>
      </w:r>
      <w:r>
        <w:rPr>
          <w:sz w:val="20"/>
          <w:szCs w:val="20"/>
        </w:rPr>
        <w:t xml:space="preserve">şi, în orice caz, </w:t>
      </w:r>
      <w:r>
        <w:rPr>
          <w:b/>
          <w:bCs/>
          <w:sz w:val="20"/>
          <w:szCs w:val="20"/>
        </w:rPr>
        <w:t>nu exonerează administraţia de obligaţia pe care i-o impune Convenţia de a acţiona din proprie iniţiativă şi în termene rezonabile, bazându-se pe informaţiile de care dispune</w:t>
      </w:r>
      <w:r>
        <w:rPr>
          <w:sz w:val="20"/>
          <w:szCs w:val="20"/>
        </w:rPr>
        <w:t xml:space="preserve">, pentru a respecta hotărârea pronunţată împotriva sa.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Obligația instituită de lege în sarcina creditorului de a depune </w:t>
      </w:r>
      <w:r>
        <w:rPr>
          <w:b/>
          <w:bCs/>
          <w:sz w:val="20"/>
          <w:szCs w:val="20"/>
        </w:rPr>
        <w:t>o cerere scrisă pentru executare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 xml:space="preserve">o copie a actului de identitate </w:t>
      </w:r>
      <w:r>
        <w:rPr>
          <w:sz w:val="20"/>
          <w:szCs w:val="20"/>
        </w:rPr>
        <w:t xml:space="preserve">și/sau </w:t>
      </w:r>
      <w:r>
        <w:rPr>
          <w:b/>
          <w:bCs/>
          <w:sz w:val="20"/>
          <w:szCs w:val="20"/>
        </w:rPr>
        <w:t xml:space="preserve">o copie a hotărârii definitive, învestite cu formulă executorie </w:t>
      </w:r>
      <w:r>
        <w:rPr>
          <w:sz w:val="20"/>
          <w:szCs w:val="20"/>
        </w:rPr>
        <w:t xml:space="preserve">constituie </w:t>
      </w:r>
      <w:r>
        <w:rPr>
          <w:b/>
          <w:bCs/>
          <w:sz w:val="20"/>
          <w:szCs w:val="20"/>
        </w:rPr>
        <w:t>formalități rezonabile</w:t>
      </w:r>
      <w:r>
        <w:rPr>
          <w:sz w:val="20"/>
          <w:szCs w:val="20"/>
        </w:rPr>
        <w:t xml:space="preserve">, neputând fi considerate acte de executare silită. În situația în care creditorul nu depune documentația prevăzute de lege, este important ca </w:t>
      </w:r>
      <w:r>
        <w:rPr>
          <w:b/>
          <w:bCs/>
          <w:sz w:val="20"/>
          <w:szCs w:val="20"/>
        </w:rPr>
        <w:t>debitorul să îl informeze cu privire la formalitățile necesare pentru executare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Refuzul creditorului de a efectua formalități legale rezonabile </w:t>
      </w:r>
      <w:r>
        <w:rPr>
          <w:sz w:val="20"/>
          <w:szCs w:val="20"/>
        </w:rPr>
        <w:t xml:space="preserve">pentru executarea hotărârii </w:t>
      </w:r>
      <w:r>
        <w:rPr>
          <w:b/>
          <w:bCs/>
          <w:sz w:val="20"/>
          <w:szCs w:val="20"/>
        </w:rPr>
        <w:t>reprezintă o imposibilitate obiectivă de executare</w:t>
      </w:r>
      <w:r>
        <w:rPr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>Refuzul creditorului de a coopera</w:t>
      </w:r>
      <w:r>
        <w:rPr>
          <w:sz w:val="20"/>
          <w:szCs w:val="20"/>
        </w:rPr>
        <w:t xml:space="preserve">, atunci când </w:t>
      </w:r>
      <w:r>
        <w:rPr>
          <w:b/>
          <w:bCs/>
          <w:sz w:val="20"/>
          <w:szCs w:val="20"/>
        </w:rPr>
        <w:t>îndeplinirea obligației autorităților implică în mod necesar cooperarea acestuia</w:t>
      </w:r>
      <w:r>
        <w:rPr>
          <w:sz w:val="20"/>
          <w:szCs w:val="20"/>
        </w:rPr>
        <w:t xml:space="preserve">, constituie un caz de </w:t>
      </w:r>
      <w:r>
        <w:rPr>
          <w:b/>
          <w:bCs/>
          <w:sz w:val="20"/>
          <w:szCs w:val="20"/>
        </w:rPr>
        <w:t xml:space="preserve">imposibilitate obiectivă de executare </w:t>
      </w:r>
      <w:r>
        <w:rPr>
          <w:sz w:val="20"/>
          <w:szCs w:val="20"/>
        </w:rPr>
        <w:t xml:space="preserve">(de ex., refuzul creditorului de a permite accesul pe terenul său pentru ridicarea unui stâlp).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Constituie </w:t>
      </w:r>
      <w:r>
        <w:rPr>
          <w:b/>
          <w:bCs/>
          <w:sz w:val="20"/>
          <w:szCs w:val="20"/>
        </w:rPr>
        <w:t xml:space="preserve">imposibilitate obiectivă de executare </w:t>
      </w:r>
      <w:r>
        <w:rPr>
          <w:sz w:val="20"/>
          <w:szCs w:val="20"/>
        </w:rPr>
        <w:t xml:space="preserve">și situația în care hotărârea judecătorească obligă autoritatea </w:t>
      </w:r>
      <w:r>
        <w:rPr>
          <w:b/>
          <w:bCs/>
          <w:sz w:val="20"/>
          <w:szCs w:val="20"/>
        </w:rPr>
        <w:t xml:space="preserve">să efectueze un act care nu mai putea fi adus la îndeplinire în momentul pronunțării hotărârii </w:t>
      </w:r>
      <w:r>
        <w:rPr>
          <w:sz w:val="20"/>
          <w:szCs w:val="20"/>
        </w:rPr>
        <w:t xml:space="preserve">(de ex., reintegrarea pe postul de director, în condițiile în care mandatul corespunzător funcției de director expirase la momentul la care s-a pronunțat hotărârea; reluarea unei proceduri de adjudecare, în condițiile în care a dispărut obiectul de adjudecat). </w:t>
      </w:r>
      <w:r>
        <w:rPr>
          <w:b/>
          <w:bCs/>
          <w:sz w:val="20"/>
          <w:szCs w:val="20"/>
        </w:rPr>
        <w:t xml:space="preserve">Imposibilitatea de cuantificare a sumei de plată </w:t>
      </w:r>
      <w:r>
        <w:rPr>
          <w:sz w:val="20"/>
          <w:szCs w:val="20"/>
        </w:rPr>
        <w:t xml:space="preserve">determină o </w:t>
      </w:r>
      <w:r>
        <w:rPr>
          <w:b/>
          <w:bCs/>
          <w:sz w:val="20"/>
          <w:szCs w:val="20"/>
        </w:rPr>
        <w:t xml:space="preserve">imposibilitate obiectivă de executare </w:t>
      </w:r>
      <w:r>
        <w:rPr>
          <w:sz w:val="20"/>
          <w:szCs w:val="20"/>
        </w:rPr>
        <w:t xml:space="preserve">(de ex., obligarea la plata unor suplimente salariale, fără a se stabili prin hotărâre cuantumul acestora și în absența unui act normativ care să stabilească cuantumul, procentul sau care să ofere criterii de determinare concretă a acestora).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În schimb, </w:t>
      </w:r>
      <w:r>
        <w:rPr>
          <w:b/>
          <w:bCs/>
          <w:sz w:val="20"/>
          <w:szCs w:val="20"/>
        </w:rPr>
        <w:t xml:space="preserve">refuzul </w:t>
      </w:r>
      <w:r>
        <w:rPr>
          <w:sz w:val="20"/>
          <w:szCs w:val="20"/>
        </w:rPr>
        <w:t xml:space="preserve">autorităților de a executa o hotărâre, invocând </w:t>
      </w:r>
      <w:r>
        <w:rPr>
          <w:b/>
          <w:bCs/>
          <w:sz w:val="20"/>
          <w:szCs w:val="20"/>
        </w:rPr>
        <w:t>argumente care nu fuseseră aduse la cunoștința instanței de fond, nu poate reprezenta o imposibilitate obiectivă de executare</w:t>
      </w:r>
      <w:r>
        <w:rPr>
          <w:sz w:val="20"/>
          <w:szCs w:val="20"/>
        </w:rPr>
        <w:t xml:space="preserve">. De asemenea, </w:t>
      </w:r>
      <w:r>
        <w:rPr>
          <w:b/>
          <w:bCs/>
          <w:sz w:val="20"/>
          <w:szCs w:val="20"/>
        </w:rPr>
        <w:t xml:space="preserve">refuzul </w:t>
      </w:r>
      <w:r>
        <w:rPr>
          <w:sz w:val="20"/>
          <w:szCs w:val="20"/>
        </w:rPr>
        <w:t xml:space="preserve">de executare întemeiat pe </w:t>
      </w:r>
      <w:r>
        <w:rPr>
          <w:b/>
          <w:bCs/>
          <w:sz w:val="20"/>
          <w:szCs w:val="20"/>
        </w:rPr>
        <w:t>elemente de fapt care fuseseră analizate și respinse de instanțele judecătorești, nu poate reprezenta o imposibilitate obiectivă de executare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Pronunțarea unei noi hotărâri, care obligă autoritatea debitoare la </w:t>
      </w:r>
      <w:r>
        <w:rPr>
          <w:b/>
          <w:bCs/>
          <w:sz w:val="20"/>
          <w:szCs w:val="20"/>
        </w:rPr>
        <w:t xml:space="preserve">plata unor despăgubiri/zi întârziere pentru neexecutare, constituie o dovadă că executarea era la acel moment posibilă, </w:t>
      </w:r>
      <w:r>
        <w:rPr>
          <w:sz w:val="20"/>
          <w:szCs w:val="20"/>
        </w:rPr>
        <w:t xml:space="preserve">în ciuda susținerilor debitoarei privind </w:t>
      </w:r>
      <w:proofErr w:type="spellStart"/>
      <w:r>
        <w:rPr>
          <w:sz w:val="20"/>
          <w:szCs w:val="20"/>
        </w:rPr>
        <w:t>imporibilitatea</w:t>
      </w:r>
      <w:proofErr w:type="spellEnd"/>
      <w:r>
        <w:rPr>
          <w:sz w:val="20"/>
          <w:szCs w:val="20"/>
        </w:rPr>
        <w:t xml:space="preserve"> de executare.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Autoritățile nu se pot sustrage executării unei hotărâri judecătoreşti, invocând </w:t>
      </w:r>
      <w:r>
        <w:rPr>
          <w:b/>
          <w:bCs/>
          <w:sz w:val="20"/>
          <w:szCs w:val="20"/>
        </w:rPr>
        <w:t>interpretarea incorectă a legii interne sau a situației de fapt din partea instanţelor naţionale, repunând astfel în discuţie fondul cauzei</w:t>
      </w:r>
      <w:r>
        <w:rPr>
          <w:sz w:val="20"/>
          <w:szCs w:val="20"/>
        </w:rPr>
        <w:t xml:space="preserve">. Chiar dacă ar exista o divergenţă de interpretare, pe baza principiului supremaţiei dreptului într-o societate democratică, </w:t>
      </w:r>
      <w:r>
        <w:rPr>
          <w:b/>
          <w:bCs/>
          <w:sz w:val="20"/>
          <w:szCs w:val="20"/>
        </w:rPr>
        <w:t>hotărârea definitivă pronunţată de instanţele naţionale prevalează față de opinia autorităţilor administrative</w:t>
      </w:r>
      <w:r>
        <w:rPr>
          <w:sz w:val="20"/>
          <w:szCs w:val="20"/>
        </w:rPr>
        <w:t xml:space="preserve">, iar acestea sunt obligate să se conformeze în </w:t>
      </w:r>
    </w:p>
    <w:p w:rsidR="00B42356" w:rsidRDefault="00B42356" w:rsidP="00B42356">
      <w:pPr>
        <w:pStyle w:val="Default"/>
        <w:pageBreakBefore/>
        <w:rPr>
          <w:sz w:val="20"/>
          <w:szCs w:val="20"/>
        </w:rPr>
      </w:pPr>
      <w:r>
        <w:rPr>
          <w:sz w:val="20"/>
          <w:szCs w:val="20"/>
        </w:rPr>
        <w:lastRenderedPageBreak/>
        <w:t>întregime. În plus, în unele situații în care autoritățile au invocat aceste aspecte, CEDO le-</w:t>
      </w:r>
      <w:r>
        <w:rPr>
          <w:b/>
          <w:bCs/>
          <w:sz w:val="20"/>
          <w:szCs w:val="20"/>
        </w:rPr>
        <w:t>a reproșat acestora că nu au introdus căile de atac ordinare împotriva hotărârii judecătorești criticate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Autoritatea nu se poate prevala de o imposibilitate obiectivă de executare, dacă această imposibilitate nu a fost </w:t>
      </w:r>
      <w:r>
        <w:rPr>
          <w:b/>
          <w:bCs/>
          <w:sz w:val="20"/>
          <w:szCs w:val="20"/>
        </w:rPr>
        <w:t>constatată în cadrul unei proceduri judecătoreşti sau administrative, opozabile creditorului</w:t>
      </w:r>
      <w:r>
        <w:rPr>
          <w:sz w:val="20"/>
          <w:szCs w:val="20"/>
        </w:rPr>
        <w:t xml:space="preserve">. O scrisoare simplă a debitoarei, prin care informează partea interesată de ”imposibilitatea” executării, nu constituie un motiv de exonerare.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În situația obținerii unei hotărâri care constată imposibilitatea executării, autoritatea trebuie să facă </w:t>
      </w:r>
      <w:r>
        <w:rPr>
          <w:b/>
          <w:bCs/>
          <w:sz w:val="20"/>
          <w:szCs w:val="20"/>
        </w:rPr>
        <w:t>demersuri pentru a asigura executarea prin echivalent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În situația în care autoritatea invocă imposibilitatea executării deoarece situația juridică din cauză este neclară (de ex., situația imobilului de predat), CEDO consideră că </w:t>
      </w:r>
      <w:r>
        <w:rPr>
          <w:b/>
          <w:bCs/>
          <w:sz w:val="20"/>
          <w:szCs w:val="20"/>
        </w:rPr>
        <w:t>este datoria autorităţilor şi nu a creditorului să clarifice situaţia juridică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Autoritatea debitoare </w:t>
      </w:r>
      <w:r>
        <w:rPr>
          <w:b/>
          <w:bCs/>
          <w:sz w:val="20"/>
          <w:szCs w:val="20"/>
        </w:rPr>
        <w:t xml:space="preserve">nu trebuie să facă acte prin care să determine imposibilitatea de executare </w:t>
      </w:r>
      <w:r>
        <w:rPr>
          <w:sz w:val="20"/>
          <w:szCs w:val="20"/>
        </w:rPr>
        <w:t xml:space="preserve">(de ex, vânzarea apartamentului în litigiu în timpul procesului intentat de reclamant).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Chiar dacă dispozitivul hotărârii nu pune în sarcina autorităţilor </w:t>
      </w:r>
      <w:proofErr w:type="spellStart"/>
      <w:r>
        <w:rPr>
          <w:sz w:val="20"/>
          <w:szCs w:val="20"/>
        </w:rPr>
        <w:t>nicio</w:t>
      </w:r>
      <w:proofErr w:type="spellEnd"/>
      <w:r>
        <w:rPr>
          <w:sz w:val="20"/>
          <w:szCs w:val="20"/>
        </w:rPr>
        <w:t xml:space="preserve"> obligație precisă (de ex., dacă se dispune anularea unui act al administrației), hotărârea trebuie executată, deoarece obligația de executare a unei hotărâri nu se limitează la dispozitiv, ci trebuie să aibă în vedere și considerentele. Dacă totuși hotărârea obținută nu este susceptibilă de executare, fiind necesară </w:t>
      </w:r>
      <w:r>
        <w:rPr>
          <w:b/>
          <w:bCs/>
          <w:sz w:val="20"/>
          <w:szCs w:val="20"/>
        </w:rPr>
        <w:t>introducerea unei noi acțiuni pentru stabilirea detaliilor privind executarea</w:t>
      </w:r>
      <w:r>
        <w:rPr>
          <w:sz w:val="20"/>
          <w:szCs w:val="20"/>
        </w:rPr>
        <w:t xml:space="preserve">, </w:t>
      </w:r>
      <w:r>
        <w:rPr>
          <w:b/>
          <w:bCs/>
          <w:sz w:val="20"/>
          <w:szCs w:val="20"/>
        </w:rPr>
        <w:t>autorităţile sunt cele care trebuie să facă acest demers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Executarea în mod defectuos a unei hotărâri judecătorești</w:t>
      </w:r>
      <w:r>
        <w:rPr>
          <w:sz w:val="20"/>
          <w:szCs w:val="20"/>
        </w:rPr>
        <w:t xml:space="preserve">, fapt constatat fie de instanțele naționale, fie în mod direct de CEDO, atrage încălcarea Convenției (de ex., emiterea unei noi decizii privind pensia sau a unei decizii de reintegrare care sunt anulate ulterior de instanța de judecată).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Chiar dacă </w:t>
      </w:r>
      <w:r>
        <w:rPr>
          <w:b/>
          <w:bCs/>
          <w:sz w:val="20"/>
          <w:szCs w:val="20"/>
        </w:rPr>
        <w:t>neexecutarea unei hotărâri se datorează unei alte autorități a statului decât instituția debitoare</w:t>
      </w:r>
      <w:r>
        <w:rPr>
          <w:sz w:val="20"/>
          <w:szCs w:val="20"/>
        </w:rPr>
        <w:t xml:space="preserve">, statul rămâne responsabil pentru încălcarea Convenției.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Simpla susținere a autorității că ar fi executat nu este suficientă</w:t>
      </w:r>
      <w:r>
        <w:rPr>
          <w:sz w:val="20"/>
          <w:szCs w:val="20"/>
        </w:rPr>
        <w:t xml:space="preserve">, în măsura în care nu se coroborează cu alte elemente de probă.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Printr-o contestație la executare nu se poate repune în discuție fondul</w:t>
      </w:r>
      <w:r>
        <w:rPr>
          <w:sz w:val="20"/>
          <w:szCs w:val="20"/>
        </w:rPr>
        <w:t xml:space="preserve">, afectând autoritatea de lucru judecat a titlului reclamantei.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Suspendarea executării unei hotărâri pronunțate împotriva statului nu este în esență contrară Convenției</w:t>
      </w:r>
      <w:r>
        <w:rPr>
          <w:sz w:val="20"/>
          <w:szCs w:val="20"/>
        </w:rPr>
        <w:t xml:space="preserve">, deoarece și debitorul public trebuie să aibă posibilitatea de a invoca fapte apărute după pronunțarea hotărârii definitive. Totuși, în materii importante pentru reclamant (cum ar fi dreptul muncii), </w:t>
      </w:r>
      <w:r>
        <w:rPr>
          <w:b/>
          <w:bCs/>
          <w:sz w:val="20"/>
          <w:szCs w:val="20"/>
        </w:rPr>
        <w:t>autoritățile trebuie să acționeze cu diligență sporită pentru a asigura executarea rapidă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În absența unei hotărâri de suspendare a executării, faptul că o contestație la executare este în curs nu justifică un refuz de executare</w:t>
      </w:r>
      <w:r>
        <w:rPr>
          <w:sz w:val="20"/>
          <w:szCs w:val="20"/>
        </w:rPr>
        <w:t xml:space="preserve">. Emiterea unei decizii de suspendare de către debitoare nu justifică neexecutarea.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În situația în care </w:t>
      </w:r>
      <w:r>
        <w:rPr>
          <w:b/>
          <w:bCs/>
          <w:sz w:val="20"/>
          <w:szCs w:val="20"/>
        </w:rPr>
        <w:t>creditorul este nemulțumit de modalitatea în care s-a făcut executarea</w:t>
      </w:r>
      <w:r>
        <w:rPr>
          <w:sz w:val="20"/>
          <w:szCs w:val="20"/>
        </w:rPr>
        <w:t xml:space="preserve">, autoritățile sunt obligate să depună diligențele necesare pentru a stabili, în cadrul procedurilor judiciare inițiate de creditorul nemulțumit, dacă și-au executat în mod corect obligația.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O creanță împotriva statului, rezultată dintr-o hotărâre judecătorească, rămâne validă și trebuie executată, chiar dacă potrivit legislației interne dreptul de a cere executarea silită s-a prescris. </w:t>
      </w:r>
      <w:r>
        <w:rPr>
          <w:b/>
          <w:bCs/>
          <w:sz w:val="20"/>
          <w:szCs w:val="20"/>
        </w:rPr>
        <w:t>Constatarea de către instanțele naționale a prescrierii dreptului creditorului de a cere executarea silită nu înlătură obligația de executare a hotărârii interne</w:t>
      </w:r>
      <w:r>
        <w:rPr>
          <w:sz w:val="20"/>
          <w:szCs w:val="20"/>
        </w:rPr>
        <w:t xml:space="preserve">, având în vedere că aceasta nu a fost nici anulată, nici modificată. </w:t>
      </w:r>
    </w:p>
    <w:p w:rsidR="00B42356" w:rsidRDefault="00B42356" w:rsidP="00B42356">
      <w:pPr>
        <w:pStyle w:val="Default"/>
        <w:pageBreakBefore/>
        <w:rPr>
          <w:sz w:val="20"/>
          <w:szCs w:val="20"/>
        </w:rPr>
      </w:pP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A. Particularități în cauzele referitoare la hotărâri judecătorești privind obligația de a da (o sumă de bani) </w:t>
      </w:r>
    </w:p>
    <w:p w:rsidR="00B42356" w:rsidRDefault="00B42356" w:rsidP="00B42356">
      <w:pPr>
        <w:pStyle w:val="Default"/>
        <w:rPr>
          <w:sz w:val="20"/>
          <w:szCs w:val="20"/>
        </w:rPr>
      </w:pP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Statul nu poate să invoce lipsa resurselor financiare </w:t>
      </w:r>
      <w:r>
        <w:rPr>
          <w:sz w:val="20"/>
          <w:szCs w:val="20"/>
        </w:rPr>
        <w:t xml:space="preserve">pentru a justifica neexecutarea unor hotărâri judecătorești.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În situația în care </w:t>
      </w:r>
      <w:r>
        <w:rPr>
          <w:b/>
          <w:bCs/>
          <w:sz w:val="20"/>
          <w:szCs w:val="20"/>
        </w:rPr>
        <w:t>creditorul și autoritatea debitoare au creanțe reciproce operează compensarea</w:t>
      </w:r>
      <w:r>
        <w:rPr>
          <w:sz w:val="20"/>
          <w:szCs w:val="20"/>
        </w:rPr>
        <w:t xml:space="preserve">; în acest caz nu trebuie distins între bugetul local </w:t>
      </w:r>
      <w:r>
        <w:rPr>
          <w:rFonts w:ascii="Tahoma" w:hAnsi="Tahoma" w:cs="Tahoma"/>
          <w:sz w:val="20"/>
          <w:szCs w:val="20"/>
        </w:rPr>
        <w:t>ș</w:t>
      </w:r>
      <w:r>
        <w:rPr>
          <w:sz w:val="20"/>
          <w:szCs w:val="20"/>
        </w:rPr>
        <w:t xml:space="preserve">i bugetul de stat.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Formularea unei contestaţii la executare în </w:t>
      </w:r>
      <w:r>
        <w:rPr>
          <w:b/>
          <w:bCs/>
          <w:sz w:val="20"/>
          <w:szCs w:val="20"/>
        </w:rPr>
        <w:t xml:space="preserve">scopul stabilirii cuantumului datoriei </w:t>
      </w:r>
      <w:r>
        <w:rPr>
          <w:sz w:val="20"/>
          <w:szCs w:val="20"/>
        </w:rPr>
        <w:t xml:space="preserve">nu este, în principiu, contrară Convenției.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B. Particularități în cauzele referitoare la hotărâri judecătorești pronunțate împotriva unor societăţi faţă de care statul este responsabil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Pentru ca statul să poată fi exonerat de răspundere pentru acţiunile şi omisiunile unei societăți comerciale/companii naționale, aceasta trebuie să beneficieze de </w:t>
      </w:r>
      <w:r>
        <w:rPr>
          <w:b/>
          <w:bCs/>
          <w:sz w:val="20"/>
          <w:szCs w:val="20"/>
        </w:rPr>
        <w:t>o independenţă instituţională şi operaţională suficientă faţă de autorităţi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Faptul că </w:t>
      </w:r>
      <w:r>
        <w:rPr>
          <w:b/>
          <w:bCs/>
          <w:sz w:val="20"/>
          <w:szCs w:val="20"/>
        </w:rPr>
        <w:t xml:space="preserve">o procedură de lichidare judiciară este în curs/ finalizată în privinţa unei societăţi faţă de care statul este responsabil, nu justifică neplata unei creanţe </w:t>
      </w:r>
      <w:r>
        <w:rPr>
          <w:sz w:val="20"/>
          <w:szCs w:val="20"/>
        </w:rPr>
        <w:t xml:space="preserve">izvorâte dintr-o hotărâre definitivă. Chiar dacă </w:t>
      </w:r>
      <w:r>
        <w:rPr>
          <w:b/>
          <w:bCs/>
          <w:sz w:val="20"/>
          <w:szCs w:val="20"/>
        </w:rPr>
        <w:t xml:space="preserve">derularea unei proceduri de faliment poate justifica o anumită întârziere </w:t>
      </w:r>
      <w:r>
        <w:rPr>
          <w:sz w:val="20"/>
          <w:szCs w:val="20"/>
        </w:rPr>
        <w:t xml:space="preserve">în plata unei creanţe, </w:t>
      </w:r>
      <w:r>
        <w:rPr>
          <w:b/>
          <w:bCs/>
          <w:sz w:val="20"/>
          <w:szCs w:val="20"/>
        </w:rPr>
        <w:t xml:space="preserve">statul nu poate să invoce lipsa resurselor financiare pentru a justifica neexecutarea </w:t>
      </w:r>
      <w:r>
        <w:rPr>
          <w:sz w:val="20"/>
          <w:szCs w:val="20"/>
        </w:rPr>
        <w:t>unor hotărâri judecătore</w:t>
      </w:r>
      <w:r>
        <w:rPr>
          <w:rFonts w:ascii="Tahoma" w:hAnsi="Tahoma" w:cs="Tahoma"/>
          <w:sz w:val="20"/>
          <w:szCs w:val="20"/>
        </w:rPr>
        <w:t>ș</w:t>
      </w:r>
      <w:r>
        <w:rPr>
          <w:sz w:val="20"/>
          <w:szCs w:val="20"/>
        </w:rPr>
        <w:t xml:space="preserve">ti.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C. Particularități în cauzele referitoare la hotărâri judecătorești prin care s-a stabilit obligația de reintegrare pe post și/sau plata drepturilor salariale </w:t>
      </w:r>
    </w:p>
    <w:p w:rsidR="00B42356" w:rsidRDefault="00B42356" w:rsidP="00B42356">
      <w:pPr>
        <w:pStyle w:val="Default"/>
        <w:rPr>
          <w:sz w:val="20"/>
          <w:szCs w:val="20"/>
        </w:rPr>
      </w:pP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Reorganizarea/restructurarea activității nu constituie un motiv întemeiat pentru a refuza executarea unei hotărâri</w:t>
      </w:r>
      <w:r>
        <w:rPr>
          <w:sz w:val="20"/>
          <w:szCs w:val="20"/>
        </w:rPr>
        <w:t xml:space="preserve">; CEDO estimează că, dacă ar accepta acest argument, ar echivala cu a admite că administrația se poate sustrage executării unei hotărâri invocând eliminarea postului din organigramă. În situația invocării unui astfel de motiv, autoritatea trebuie să se adreseze unei </w:t>
      </w:r>
      <w:r>
        <w:rPr>
          <w:b/>
          <w:bCs/>
          <w:sz w:val="20"/>
          <w:szCs w:val="20"/>
        </w:rPr>
        <w:t xml:space="preserve">instanțe care să constate prin hotărâre definitivă imposibilitatea de reintegrare pe postul deținut anterior.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Nu se poate reproșa creditorului că a refuzat un post de execuție, în măsura în care acesta era inferior </w:t>
      </w:r>
      <w:r>
        <w:rPr>
          <w:sz w:val="20"/>
          <w:szCs w:val="20"/>
        </w:rPr>
        <w:t xml:space="preserve">celui pe care îl deținuse. </w:t>
      </w:r>
      <w:r>
        <w:rPr>
          <w:b/>
          <w:bCs/>
          <w:sz w:val="20"/>
          <w:szCs w:val="20"/>
        </w:rPr>
        <w:t>Nu se poate reproșa creditorului nici că nu s-a înscris la concursul de ocupare a postului</w:t>
      </w:r>
      <w:r>
        <w:rPr>
          <w:sz w:val="20"/>
          <w:szCs w:val="20"/>
        </w:rPr>
        <w:t xml:space="preserve">, în condițiile în care hotărârea internă impunea debitoarei o obligație necondiționată de reîncadrare. În schimb, dacă </w:t>
      </w:r>
      <w:r>
        <w:rPr>
          <w:b/>
          <w:bCs/>
          <w:sz w:val="20"/>
          <w:szCs w:val="20"/>
        </w:rPr>
        <w:t xml:space="preserve">creditorul refuză în mod nejustificat </w:t>
      </w:r>
      <w:r>
        <w:rPr>
          <w:sz w:val="20"/>
          <w:szCs w:val="20"/>
        </w:rPr>
        <w:t xml:space="preserve">să accepte posturile oferite, </w:t>
      </w:r>
      <w:r>
        <w:rPr>
          <w:b/>
          <w:bCs/>
          <w:sz w:val="20"/>
          <w:szCs w:val="20"/>
        </w:rPr>
        <w:t>fapt constatat printr-o hotărâre judecătorească</w:t>
      </w:r>
      <w:r>
        <w:rPr>
          <w:sz w:val="20"/>
          <w:szCs w:val="20"/>
        </w:rPr>
        <w:t xml:space="preserve">, debitorul se află într-o </w:t>
      </w:r>
      <w:r>
        <w:rPr>
          <w:b/>
          <w:bCs/>
          <w:sz w:val="20"/>
          <w:szCs w:val="20"/>
        </w:rPr>
        <w:t>imposibilitate obiectivă de executare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Obligația de reintegrare ia sfârșit în momentul în care creditorul se pensionează sau la deschiderea procedurii lichidării judiciare împotriva debitoarei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Obligația de plată a salariilor subzistă până în momentul reintegrării efective</w:t>
      </w:r>
      <w:r>
        <w:rPr>
          <w:sz w:val="20"/>
          <w:szCs w:val="20"/>
        </w:rPr>
        <w:t xml:space="preserve">/momentul în care obligația de reintegrare a luat sfârșit. </w:t>
      </w:r>
      <w:r>
        <w:rPr>
          <w:b/>
          <w:bCs/>
          <w:sz w:val="20"/>
          <w:szCs w:val="20"/>
        </w:rPr>
        <w:t>Obligația de plată a salariilor include și obligația de plată a contribuțiilor sociale aferente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După reintegrarea pe post, </w:t>
      </w:r>
      <w:r>
        <w:rPr>
          <w:b/>
          <w:bCs/>
          <w:sz w:val="20"/>
          <w:szCs w:val="20"/>
        </w:rPr>
        <w:t>acordarea unui salariu inferior echivalează cu o neexecutare parțială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D. Particularități în cauzele privind executarea cu întârziere </w:t>
      </w:r>
    </w:p>
    <w:p w:rsidR="00B42356" w:rsidRDefault="00B42356" w:rsidP="00B42356">
      <w:pPr>
        <w:pStyle w:val="Default"/>
        <w:rPr>
          <w:sz w:val="20"/>
          <w:szCs w:val="20"/>
        </w:rPr>
      </w:pP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În principiu, în absența unei justificări rezonabile, </w:t>
      </w:r>
      <w:r>
        <w:rPr>
          <w:b/>
          <w:bCs/>
          <w:sz w:val="20"/>
          <w:szCs w:val="20"/>
        </w:rPr>
        <w:t>executarea unei hotărâri cu o întârziere mai mare de 1 an constituie o încălcare a Convenției</w:t>
      </w:r>
      <w:r>
        <w:rPr>
          <w:sz w:val="20"/>
          <w:szCs w:val="20"/>
        </w:rPr>
        <w:t xml:space="preserve">. Durata procedurilor administrative nu constituie o justificare rezonabilă pentru întârziere.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Caracterul rezonabil </w:t>
      </w:r>
      <w:r>
        <w:rPr>
          <w:sz w:val="20"/>
          <w:szCs w:val="20"/>
        </w:rPr>
        <w:t xml:space="preserve">al termenului de executare trebuie să fie apreciat ţinând seama în special de </w:t>
      </w:r>
      <w:r>
        <w:rPr>
          <w:b/>
          <w:bCs/>
          <w:sz w:val="20"/>
          <w:szCs w:val="20"/>
        </w:rPr>
        <w:t xml:space="preserve">complexitatea procedurii de executare, de comportamentul creditorului şi al autorităţilor </w:t>
      </w:r>
    </w:p>
    <w:p w:rsidR="00B42356" w:rsidRDefault="00B42356" w:rsidP="00B42356">
      <w:pPr>
        <w:pStyle w:val="Default"/>
        <w:pageBreakBefore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competente. </w:t>
      </w:r>
      <w:r>
        <w:rPr>
          <w:sz w:val="20"/>
          <w:szCs w:val="20"/>
        </w:rPr>
        <w:t xml:space="preserve">Totuși, </w:t>
      </w:r>
      <w:r>
        <w:rPr>
          <w:b/>
          <w:bCs/>
          <w:sz w:val="20"/>
          <w:szCs w:val="20"/>
        </w:rPr>
        <w:t>indiferent de complexitatea procedurilor de executare sau a sistemului bugetar</w:t>
      </w:r>
      <w:r>
        <w:rPr>
          <w:sz w:val="20"/>
          <w:szCs w:val="20"/>
        </w:rPr>
        <w:t xml:space="preserve">, statul este obligat să garanteze oricărei persoane dreptul la executarea hotărârilor într-un termen rezonabil.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Executarea cu întârziere este imputabilă autorității dacă a fost determinată de introducerea unei </w:t>
      </w:r>
      <w:r>
        <w:rPr>
          <w:b/>
          <w:bCs/>
          <w:sz w:val="20"/>
          <w:szCs w:val="20"/>
        </w:rPr>
        <w:t>contestații la executare care a fost respinsă de către instanța națională</w:t>
      </w:r>
      <w:r>
        <w:rPr>
          <w:sz w:val="20"/>
          <w:szCs w:val="20"/>
        </w:rPr>
        <w:t xml:space="preserve">. </w:t>
      </w:r>
    </w:p>
    <w:p w:rsidR="00B42356" w:rsidRDefault="00B42356" w:rsidP="00B4235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 xml:space="preserve">Eşalonarea plăţilor pe perioade excesive </w:t>
      </w:r>
      <w:r>
        <w:rPr>
          <w:sz w:val="20"/>
          <w:szCs w:val="20"/>
        </w:rPr>
        <w:t xml:space="preserve">constituie o încălcare a Convenției. Totuși, în situații excepționale, determinate de cuantumul și numărul creanțelor, </w:t>
      </w:r>
      <w:r>
        <w:rPr>
          <w:b/>
          <w:bCs/>
          <w:sz w:val="20"/>
          <w:szCs w:val="20"/>
        </w:rPr>
        <w:t xml:space="preserve">măsurile de eșalonare a plății creanțelor, luate pentru menţinerea echilibrului bugetar, </w:t>
      </w:r>
      <w:r>
        <w:rPr>
          <w:sz w:val="20"/>
          <w:szCs w:val="20"/>
        </w:rPr>
        <w:t xml:space="preserve">sunt conforme Convenției. </w:t>
      </w:r>
    </w:p>
    <w:p w:rsidR="00B42356" w:rsidRPr="004C20AB" w:rsidRDefault="00B42356" w:rsidP="00B42356">
      <w:pPr>
        <w:rPr>
          <w:rFonts w:ascii="Arial" w:hAnsi="Arial" w:cs="Arial"/>
          <w:lang w:val="en-US"/>
        </w:rPr>
      </w:pPr>
      <w:r w:rsidRPr="004C20AB">
        <w:rPr>
          <w:rFonts w:ascii="Arial" w:hAnsi="Arial" w:cs="Arial"/>
          <w:sz w:val="20"/>
          <w:szCs w:val="20"/>
        </w:rPr>
        <w:t xml:space="preserve">- Prin executarea cu întârziere (mai mare de 1 an), </w:t>
      </w:r>
      <w:r w:rsidRPr="004C20AB">
        <w:rPr>
          <w:rFonts w:ascii="Arial" w:hAnsi="Arial" w:cs="Arial"/>
          <w:b/>
          <w:bCs/>
          <w:sz w:val="20"/>
          <w:szCs w:val="20"/>
        </w:rPr>
        <w:t>creditorii suferă un prejudiciu moral</w:t>
      </w:r>
      <w:r w:rsidRPr="004C20AB">
        <w:rPr>
          <w:rFonts w:ascii="Arial" w:hAnsi="Arial" w:cs="Arial"/>
          <w:sz w:val="20"/>
          <w:szCs w:val="20"/>
        </w:rPr>
        <w:t>, care nu poate fi compensat prin simpla constatare a încălcării Convenției, fiind necesară acordarea unor sume cu titlu de daune morale. Autoritatea debitoare datorează daune morale chiar dacă a compensat prejudiciul material cauzat de executarea cu întârziere (de ex., debitul a fost actualizat cu rata in</w:t>
      </w:r>
      <w:bookmarkStart w:id="0" w:name="_GoBack"/>
      <w:bookmarkEnd w:id="0"/>
      <w:r w:rsidRPr="004C20AB">
        <w:rPr>
          <w:rFonts w:ascii="Arial" w:hAnsi="Arial" w:cs="Arial"/>
          <w:sz w:val="20"/>
          <w:szCs w:val="20"/>
        </w:rPr>
        <w:t>flației).</w:t>
      </w:r>
    </w:p>
    <w:sectPr w:rsidR="00B42356" w:rsidRPr="004C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56"/>
    <w:rsid w:val="00441928"/>
    <w:rsid w:val="004C20AB"/>
    <w:rsid w:val="00B42356"/>
    <w:rsid w:val="00F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423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423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1858</Words>
  <Characters>10782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Utilizator Windows</cp:lastModifiedBy>
  <cp:revision>2</cp:revision>
  <dcterms:created xsi:type="dcterms:W3CDTF">2017-05-15T08:35:00Z</dcterms:created>
  <dcterms:modified xsi:type="dcterms:W3CDTF">2017-05-15T08:35:00Z</dcterms:modified>
</cp:coreProperties>
</file>