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color w:val="333333"/>
          <w:lang w:val="ro-RO"/>
        </w:rPr>
      </w:pPr>
      <w:r>
        <w:rPr>
          <w:color w:val="333333"/>
          <w:lang w:val="ro-RO"/>
        </w:rPr>
        <w:t>ROMÂNIA</w:t>
      </w:r>
    </w:p>
    <w:p>
      <w:pPr>
        <w:jc w:val="both"/>
        <w:rPr>
          <w:color w:val="333333"/>
          <w:lang w:val="ro-RO"/>
        </w:rPr>
      </w:pPr>
      <w:r>
        <w:rPr>
          <w:color w:val="333333"/>
          <w:lang w:val="ro-RO"/>
        </w:rPr>
        <w:t>JUDEŢUL CLUJ</w:t>
      </w:r>
    </w:p>
    <w:p>
      <w:pPr>
        <w:jc w:val="both"/>
        <w:rPr>
          <w:color w:val="333333"/>
          <w:lang w:val="ro-RO"/>
        </w:rPr>
      </w:pPr>
      <w:r>
        <w:rPr>
          <w:color w:val="333333"/>
          <w:lang w:val="ro-RO"/>
        </w:rPr>
        <w:t>COMUNA CĂPUŞU MARE</w:t>
      </w:r>
    </w:p>
    <w:p>
      <w:pPr>
        <w:jc w:val="both"/>
        <w:rPr>
          <w:color w:val="333333"/>
          <w:lang w:val="ro-RO"/>
        </w:rPr>
      </w:pPr>
      <w:r>
        <w:rPr>
          <w:color w:val="333333"/>
          <w:lang w:val="ro-RO"/>
        </w:rPr>
        <w:t>PRIMĂRIA</w:t>
      </w:r>
    </w:p>
    <w:p>
      <w:pPr>
        <w:ind w:firstLine="720"/>
        <w:jc w:val="both"/>
        <w:rPr>
          <w:color w:val="333333"/>
          <w:lang w:val="ro-RO"/>
        </w:rPr>
      </w:pPr>
    </w:p>
    <w:p>
      <w:pPr>
        <w:jc w:val="center"/>
        <w:rPr>
          <w:color w:val="333333"/>
          <w:lang w:val="ro-RO"/>
        </w:rPr>
      </w:pPr>
      <w:r>
        <w:rPr>
          <w:b/>
          <w:color w:val="333333"/>
          <w:u w:val="single"/>
          <w:lang w:val="ro-RO"/>
        </w:rPr>
        <w:t>C A I E T   D E    S A R C I N I</w:t>
      </w:r>
    </w:p>
    <w:p>
      <w:pPr>
        <w:ind w:firstLine="720"/>
        <w:jc w:val="center"/>
        <w:rPr>
          <w:lang w:val="ro-RO"/>
        </w:rPr>
      </w:pPr>
      <w:r>
        <w:rPr>
          <w:lang w:val="ro-RO"/>
        </w:rPr>
        <w:t>al licitaţiei publice deschise cu strigare organizate în vederea închirierii  unui  imobil  proprietatea privata a Comunei Căpuşu Mare</w:t>
      </w:r>
    </w:p>
    <w:p>
      <w:pPr>
        <w:jc w:val="center"/>
        <w:rPr>
          <w:color w:val="333333"/>
          <w:sz w:val="26"/>
          <w:lang w:val="ro-RO"/>
        </w:rPr>
      </w:pPr>
    </w:p>
    <w:p>
      <w:pPr>
        <w:jc w:val="center"/>
        <w:rPr>
          <w:color w:val="333333"/>
          <w:sz w:val="26"/>
          <w:lang w:val="ro-RO"/>
        </w:rPr>
      </w:pPr>
    </w:p>
    <w:p>
      <w:pPr>
        <w:ind w:firstLine="720"/>
        <w:jc w:val="both"/>
        <w:rPr>
          <w:color w:val="333333"/>
          <w:sz w:val="26"/>
          <w:lang w:val="ro-RO"/>
        </w:rPr>
      </w:pPr>
      <w:r>
        <w:rPr>
          <w:color w:val="333333"/>
          <w:sz w:val="26"/>
          <w:lang w:val="ro-RO"/>
        </w:rPr>
        <w:t>1.Denumirea obiectivului aprobat spre închiriere : conform tabelului pct 3.</w:t>
      </w:r>
    </w:p>
    <w:p>
      <w:pPr>
        <w:jc w:val="both"/>
        <w:rPr>
          <w:color w:val="333333"/>
          <w:sz w:val="26"/>
          <w:lang w:val="ro-RO"/>
        </w:rPr>
      </w:pPr>
      <w:r>
        <w:rPr>
          <w:color w:val="333333"/>
          <w:sz w:val="26"/>
          <w:lang w:val="ro-RO"/>
        </w:rPr>
        <w:t xml:space="preserve">           2. Locator : Comuna Căpuşu Mare;</w:t>
      </w:r>
    </w:p>
    <w:p>
      <w:pPr>
        <w:jc w:val="both"/>
        <w:rPr>
          <w:color w:val="333333"/>
          <w:sz w:val="26"/>
          <w:lang w:val="ro-RO"/>
        </w:rPr>
      </w:pPr>
      <w:r>
        <w:rPr>
          <w:color w:val="333333"/>
          <w:sz w:val="26"/>
          <w:lang w:val="ro-RO"/>
        </w:rPr>
        <w:t xml:space="preserve">           3. Scurtă prezentare a obiectivelor </w:t>
      </w:r>
    </w:p>
    <w:tbl>
      <w:tblPr>
        <w:tblStyle w:val="8"/>
        <w:tblpPr w:leftFromText="180" w:rightFromText="180" w:vertAnchor="text" w:horzAnchor="page" w:tblpX="1877" w:tblpY="287"/>
        <w:tblOverlap w:val="never"/>
        <w:tblW w:w="8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2362"/>
        <w:gridCol w:w="1485"/>
        <w:gridCol w:w="1491"/>
        <w:gridCol w:w="150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sz w:val="20"/>
                <w:szCs w:val="20"/>
              </w:rPr>
            </w:pPr>
            <w:r>
              <w:rPr>
                <w:sz w:val="20"/>
                <w:szCs w:val="20"/>
              </w:rPr>
              <w:t xml:space="preserve">Nr </w:t>
            </w:r>
            <w:r>
              <w:rPr>
                <w:sz w:val="20"/>
                <w:szCs w:val="20"/>
              </w:rPr>
              <w:br w:type="textWrapping"/>
            </w:r>
            <w:r>
              <w:rPr>
                <w:sz w:val="20"/>
                <w:szCs w:val="20"/>
              </w:rPr>
              <w:t>crt</w:t>
            </w:r>
          </w:p>
        </w:tc>
        <w:tc>
          <w:tcPr>
            <w:tcW w:w="2362" w:type="dxa"/>
            <w:vAlign w:val="top"/>
          </w:tcPr>
          <w:p>
            <w:pPr>
              <w:jc w:val="both"/>
              <w:rPr>
                <w:sz w:val="20"/>
                <w:szCs w:val="20"/>
              </w:rPr>
            </w:pPr>
            <w:r>
              <w:rPr>
                <w:sz w:val="20"/>
                <w:szCs w:val="20"/>
              </w:rPr>
              <w:t>Imobil</w:t>
            </w:r>
          </w:p>
        </w:tc>
        <w:tc>
          <w:tcPr>
            <w:tcW w:w="1485" w:type="dxa"/>
            <w:vAlign w:val="top"/>
          </w:tcPr>
          <w:p>
            <w:pPr>
              <w:jc w:val="both"/>
              <w:rPr>
                <w:sz w:val="20"/>
                <w:szCs w:val="20"/>
              </w:rPr>
            </w:pPr>
            <w:r>
              <w:rPr>
                <w:sz w:val="20"/>
                <w:szCs w:val="20"/>
              </w:rPr>
              <w:t>Suprafata mp</w:t>
            </w:r>
          </w:p>
        </w:tc>
        <w:tc>
          <w:tcPr>
            <w:tcW w:w="1491" w:type="dxa"/>
            <w:vAlign w:val="top"/>
          </w:tcPr>
          <w:p>
            <w:pPr>
              <w:jc w:val="both"/>
              <w:rPr>
                <w:sz w:val="20"/>
                <w:szCs w:val="20"/>
              </w:rPr>
            </w:pPr>
            <w:r>
              <w:rPr>
                <w:sz w:val="20"/>
                <w:szCs w:val="20"/>
              </w:rPr>
              <w:t>Adresa</w:t>
            </w:r>
          </w:p>
        </w:tc>
        <w:tc>
          <w:tcPr>
            <w:tcW w:w="1506" w:type="dxa"/>
            <w:vAlign w:val="top"/>
          </w:tcPr>
          <w:p>
            <w:pPr>
              <w:jc w:val="both"/>
              <w:rPr>
                <w:sz w:val="20"/>
                <w:szCs w:val="20"/>
              </w:rPr>
            </w:pPr>
            <w:r>
              <w:rPr>
                <w:sz w:val="20"/>
                <w:szCs w:val="20"/>
              </w:rPr>
              <w:t>Destinatia</w:t>
            </w:r>
          </w:p>
        </w:tc>
        <w:tc>
          <w:tcPr>
            <w:tcW w:w="1496" w:type="dxa"/>
            <w:vAlign w:val="top"/>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sz w:val="20"/>
                <w:szCs w:val="20"/>
              </w:rPr>
            </w:pPr>
            <w:r>
              <w:rPr>
                <w:sz w:val="20"/>
                <w:szCs w:val="20"/>
              </w:rPr>
              <w:t>1</w:t>
            </w:r>
          </w:p>
        </w:tc>
        <w:tc>
          <w:tcPr>
            <w:tcW w:w="2362" w:type="dxa"/>
            <w:vAlign w:val="top"/>
          </w:tcPr>
          <w:p>
            <w:pPr>
              <w:jc w:val="both"/>
              <w:rPr>
                <w:rFonts w:hint="default"/>
                <w:sz w:val="20"/>
                <w:szCs w:val="20"/>
                <w:lang w:val="ro-RO"/>
              </w:rPr>
            </w:pPr>
            <w:r>
              <w:rPr>
                <w:rFonts w:hint="default"/>
                <w:sz w:val="20"/>
                <w:szCs w:val="20"/>
                <w:lang w:val="ro-RO"/>
              </w:rPr>
              <w:t>Constructie stație</w:t>
            </w:r>
          </w:p>
          <w:p>
            <w:pPr>
              <w:jc w:val="both"/>
              <w:rPr>
                <w:rFonts w:hint="default"/>
                <w:sz w:val="20"/>
                <w:szCs w:val="20"/>
                <w:lang w:val="ro-RO"/>
              </w:rPr>
            </w:pPr>
            <w:r>
              <w:rPr>
                <w:rFonts w:hint="default"/>
                <w:sz w:val="20"/>
                <w:szCs w:val="20"/>
                <w:lang w:val="ro-RO"/>
              </w:rPr>
              <w:t>Dumbrava deal</w:t>
            </w:r>
          </w:p>
        </w:tc>
        <w:tc>
          <w:tcPr>
            <w:tcW w:w="1485" w:type="dxa"/>
            <w:vAlign w:val="top"/>
          </w:tcPr>
          <w:p>
            <w:pPr>
              <w:jc w:val="both"/>
              <w:rPr>
                <w:rFonts w:hint="default"/>
                <w:sz w:val="20"/>
                <w:szCs w:val="20"/>
                <w:lang w:val="en-US"/>
              </w:rPr>
            </w:pPr>
            <w:r>
              <w:rPr>
                <w:rFonts w:hint="default"/>
                <w:sz w:val="20"/>
                <w:szCs w:val="20"/>
                <w:lang w:val="ro-RO"/>
              </w:rPr>
              <w:t>16</w:t>
            </w:r>
            <w:r>
              <w:rPr>
                <w:rFonts w:hint="default"/>
                <w:sz w:val="20"/>
                <w:szCs w:val="20"/>
                <w:lang w:val="en-US"/>
              </w:rPr>
              <w:t xml:space="preserve"> mp</w:t>
            </w:r>
          </w:p>
        </w:tc>
        <w:tc>
          <w:tcPr>
            <w:tcW w:w="1491" w:type="dxa"/>
            <w:vAlign w:val="top"/>
          </w:tcPr>
          <w:p>
            <w:pPr>
              <w:jc w:val="both"/>
              <w:rPr>
                <w:sz w:val="20"/>
                <w:szCs w:val="20"/>
              </w:rPr>
            </w:pPr>
            <w:r>
              <w:rPr>
                <w:rFonts w:hint="default"/>
                <w:sz w:val="20"/>
                <w:szCs w:val="20"/>
                <w:lang w:val="en-US"/>
              </w:rPr>
              <w:t>D</w:t>
            </w:r>
            <w:r>
              <w:rPr>
                <w:rFonts w:hint="default"/>
                <w:sz w:val="20"/>
                <w:szCs w:val="20"/>
                <w:lang w:val="ro-RO"/>
              </w:rPr>
              <w:t>umbrava FN</w:t>
            </w:r>
            <w:r>
              <w:rPr>
                <w:sz w:val="20"/>
                <w:szCs w:val="20"/>
              </w:rPr>
              <w:t xml:space="preserve">  </w:t>
            </w:r>
          </w:p>
        </w:tc>
        <w:tc>
          <w:tcPr>
            <w:tcW w:w="1506" w:type="dxa"/>
            <w:vAlign w:val="top"/>
          </w:tcPr>
          <w:p>
            <w:pPr>
              <w:jc w:val="both"/>
              <w:rPr>
                <w:sz w:val="20"/>
                <w:szCs w:val="20"/>
              </w:rPr>
            </w:pPr>
            <w:r>
              <w:rPr>
                <w:sz w:val="20"/>
                <w:szCs w:val="20"/>
              </w:rPr>
              <w:t>Activitati comerciale</w:t>
            </w:r>
          </w:p>
        </w:tc>
        <w:tc>
          <w:tcPr>
            <w:tcW w:w="1496" w:type="dxa"/>
            <w:vAlign w:val="top"/>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rFonts w:hint="default"/>
                <w:sz w:val="20"/>
                <w:szCs w:val="20"/>
                <w:lang w:val="en-US"/>
              </w:rPr>
            </w:pPr>
          </w:p>
        </w:tc>
        <w:tc>
          <w:tcPr>
            <w:tcW w:w="2362" w:type="dxa"/>
            <w:vAlign w:val="top"/>
          </w:tcPr>
          <w:p>
            <w:pPr>
              <w:jc w:val="both"/>
              <w:rPr>
                <w:rFonts w:hint="default"/>
                <w:sz w:val="20"/>
                <w:szCs w:val="20"/>
                <w:lang w:val="en-US"/>
              </w:rPr>
            </w:pPr>
          </w:p>
        </w:tc>
        <w:tc>
          <w:tcPr>
            <w:tcW w:w="1485" w:type="dxa"/>
            <w:vAlign w:val="top"/>
          </w:tcPr>
          <w:p>
            <w:pPr>
              <w:jc w:val="both"/>
              <w:rPr>
                <w:rFonts w:hint="default"/>
                <w:sz w:val="20"/>
                <w:szCs w:val="20"/>
                <w:lang w:val="en-US"/>
              </w:rPr>
            </w:pPr>
          </w:p>
        </w:tc>
        <w:tc>
          <w:tcPr>
            <w:tcW w:w="1491" w:type="dxa"/>
            <w:vAlign w:val="top"/>
          </w:tcPr>
          <w:p>
            <w:pPr>
              <w:jc w:val="both"/>
              <w:rPr>
                <w:rFonts w:hint="default"/>
                <w:sz w:val="20"/>
                <w:szCs w:val="20"/>
                <w:lang w:val="en-US"/>
              </w:rPr>
            </w:pPr>
          </w:p>
        </w:tc>
        <w:tc>
          <w:tcPr>
            <w:tcW w:w="1506" w:type="dxa"/>
            <w:vAlign w:val="top"/>
          </w:tcPr>
          <w:p>
            <w:pPr>
              <w:jc w:val="both"/>
              <w:rPr>
                <w:rFonts w:hint="default"/>
                <w:sz w:val="20"/>
                <w:szCs w:val="20"/>
                <w:lang w:val="ro-RO"/>
              </w:rPr>
            </w:pPr>
          </w:p>
        </w:tc>
        <w:tc>
          <w:tcPr>
            <w:tcW w:w="1496" w:type="dxa"/>
            <w:vAlign w:val="top"/>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top"/>
          </w:tcPr>
          <w:p>
            <w:pPr>
              <w:jc w:val="both"/>
              <w:rPr>
                <w:rFonts w:hint="default"/>
                <w:sz w:val="20"/>
                <w:szCs w:val="20"/>
                <w:lang w:val="ro-RO"/>
              </w:rPr>
            </w:pPr>
          </w:p>
        </w:tc>
        <w:tc>
          <w:tcPr>
            <w:tcW w:w="2362" w:type="dxa"/>
            <w:vAlign w:val="top"/>
          </w:tcPr>
          <w:p>
            <w:pPr>
              <w:jc w:val="both"/>
              <w:rPr>
                <w:rFonts w:hint="default"/>
                <w:sz w:val="20"/>
                <w:szCs w:val="20"/>
                <w:lang w:val="ro-RO"/>
              </w:rPr>
            </w:pPr>
          </w:p>
        </w:tc>
        <w:tc>
          <w:tcPr>
            <w:tcW w:w="1485" w:type="dxa"/>
            <w:vAlign w:val="top"/>
          </w:tcPr>
          <w:p>
            <w:pPr>
              <w:jc w:val="both"/>
              <w:rPr>
                <w:rFonts w:hint="default"/>
                <w:sz w:val="20"/>
                <w:szCs w:val="20"/>
                <w:lang w:val="ro-RO"/>
              </w:rPr>
            </w:pPr>
          </w:p>
        </w:tc>
        <w:tc>
          <w:tcPr>
            <w:tcW w:w="1491" w:type="dxa"/>
            <w:vAlign w:val="top"/>
          </w:tcPr>
          <w:p>
            <w:pPr>
              <w:jc w:val="both"/>
              <w:rPr>
                <w:rFonts w:hint="default"/>
                <w:sz w:val="20"/>
                <w:szCs w:val="20"/>
                <w:lang w:val="ro-RO"/>
              </w:rPr>
            </w:pPr>
          </w:p>
        </w:tc>
        <w:tc>
          <w:tcPr>
            <w:tcW w:w="1506" w:type="dxa"/>
            <w:vAlign w:val="top"/>
          </w:tcPr>
          <w:p>
            <w:pPr>
              <w:jc w:val="both"/>
              <w:rPr>
                <w:rFonts w:hint="default"/>
                <w:sz w:val="20"/>
                <w:szCs w:val="20"/>
                <w:lang w:val="ro-RO"/>
              </w:rPr>
            </w:pPr>
          </w:p>
        </w:tc>
        <w:tc>
          <w:tcPr>
            <w:tcW w:w="1496" w:type="dxa"/>
            <w:vAlign w:val="top"/>
          </w:tcPr>
          <w:p>
            <w:pPr>
              <w:jc w:val="both"/>
              <w:rPr>
                <w:sz w:val="20"/>
                <w:szCs w:val="20"/>
              </w:rPr>
            </w:pPr>
          </w:p>
        </w:tc>
      </w:tr>
    </w:tbl>
    <w:p>
      <w:pPr>
        <w:jc w:val="both"/>
        <w:rPr>
          <w:color w:val="333333"/>
          <w:sz w:val="26"/>
          <w:lang w:val="ro-RO"/>
        </w:rPr>
      </w:pPr>
    </w:p>
    <w:p>
      <w:pPr>
        <w:ind w:firstLine="720"/>
        <w:jc w:val="both"/>
        <w:rPr>
          <w:color w:val="333333"/>
          <w:sz w:val="26"/>
          <w:lang w:val="ro-RO"/>
        </w:rPr>
      </w:pPr>
      <w:r>
        <w:rPr>
          <w:color w:val="333333"/>
          <w:sz w:val="26"/>
          <w:lang w:val="ro-RO"/>
        </w:rPr>
        <w:t xml:space="preserve">4. Criteriul de selecţie a ofertelor : economic, respectiv pretul cel mai mare </w:t>
      </w:r>
    </w:p>
    <w:p>
      <w:pPr>
        <w:jc w:val="both"/>
        <w:rPr>
          <w:color w:val="333333"/>
          <w:sz w:val="26"/>
          <w:lang w:val="ro-RO"/>
        </w:rPr>
      </w:pPr>
      <w:r>
        <w:rPr>
          <w:color w:val="333333"/>
          <w:sz w:val="26"/>
          <w:lang w:val="ro-RO"/>
        </w:rPr>
        <w:tab/>
      </w:r>
      <w:r>
        <w:rPr>
          <w:color w:val="333333"/>
          <w:sz w:val="26"/>
          <w:lang w:val="ro-RO"/>
        </w:rPr>
        <w:t xml:space="preserve">5. Durata închirierilor este </w:t>
      </w:r>
      <w:r>
        <w:rPr>
          <w:rFonts w:hint="default"/>
          <w:color w:val="333333"/>
          <w:sz w:val="26"/>
          <w:lang w:val="ro-RO"/>
        </w:rPr>
        <w:t>10</w:t>
      </w:r>
      <w:r>
        <w:rPr>
          <w:color w:val="333333"/>
          <w:sz w:val="26"/>
          <w:lang w:val="ro-RO"/>
        </w:rPr>
        <w:t xml:space="preserve"> ani cu posibilitate de prelungire </w:t>
      </w:r>
      <w:r>
        <w:rPr>
          <w:rFonts w:hint="default"/>
          <w:color w:val="333333"/>
          <w:sz w:val="26"/>
          <w:lang w:val="ro-RO"/>
        </w:rPr>
        <w:t xml:space="preserve">o singura data pe jumatate din periuoada initiala, </w:t>
      </w:r>
      <w:r>
        <w:rPr>
          <w:color w:val="333333"/>
          <w:sz w:val="26"/>
          <w:lang w:val="ro-RO"/>
        </w:rPr>
        <w:t xml:space="preserve">cu acordul partilor: </w:t>
      </w:r>
    </w:p>
    <w:p>
      <w:pPr>
        <w:ind w:firstLine="720"/>
        <w:jc w:val="both"/>
        <w:rPr>
          <w:color w:val="333333"/>
          <w:sz w:val="26"/>
          <w:lang w:val="ro-RO"/>
        </w:rPr>
      </w:pPr>
      <w:r>
        <w:rPr>
          <w:color w:val="333333"/>
          <w:sz w:val="26"/>
          <w:lang w:val="ro-RO"/>
        </w:rPr>
        <w:t xml:space="preserve">6. Condiţii de participare si calificarea la licitaţie: la licitaţie poate participa orice persoană fizică sau juridică, cu condiţia: achiziţionării documentelelor licitaţiei;  achitării taxei de participare la licitaţie în valoare de 10 ron;   depunerii garanţiei de participare la licitaţie în valoare de 200 lei,  garanţie care va fi restituită ofertanţilor declaraţi necâştigători;  acceptarii contractului cadru care face parte integranta din prezentul caiet de sarcini.  </w:t>
      </w:r>
      <w:r>
        <w:rPr>
          <w:color w:val="333333"/>
          <w:sz w:val="26"/>
          <w:lang w:val="fr-FR"/>
        </w:rPr>
        <w:t>Pentru ofertantul câştigător al licitaţiei, suma depusă cu titlu de garanţie se va considera un avans la chirie.</w:t>
      </w:r>
      <w:r>
        <w:rPr>
          <w:rFonts w:hint="default"/>
          <w:color w:val="333333"/>
          <w:sz w:val="26"/>
          <w:lang w:val="en-US"/>
        </w:rPr>
        <w:t xml:space="preserve"> </w:t>
      </w:r>
      <w:r>
        <w:rPr>
          <w:rFonts w:hint="default"/>
          <w:color w:val="333333"/>
          <w:sz w:val="26"/>
          <w:lang w:val="ro-RO"/>
        </w:rPr>
        <w:t>P</w:t>
      </w:r>
      <w:r>
        <w:rPr>
          <w:rFonts w:hint="default"/>
          <w:color w:val="333333"/>
          <w:sz w:val="26"/>
          <w:lang w:val="en-US"/>
        </w:rPr>
        <w:t xml:space="preserve">aricipantii la licitatie care au avut contracte de inchirere cu comuna Capusu Mare care au </w:t>
      </w:r>
      <w:r>
        <w:rPr>
          <w:rFonts w:hint="default"/>
          <w:color w:val="333333"/>
          <w:sz w:val="26"/>
          <w:lang w:val="ro-RO"/>
        </w:rPr>
        <w:t>î</w:t>
      </w:r>
      <w:r>
        <w:rPr>
          <w:rFonts w:hint="default"/>
          <w:color w:val="333333"/>
          <w:sz w:val="26"/>
          <w:lang w:val="en-US"/>
        </w:rPr>
        <w:t>ncetat din culpa acestora vor fi declarati necalificati</w:t>
      </w:r>
      <w:r>
        <w:rPr>
          <w:rFonts w:hint="default"/>
          <w:color w:val="333333"/>
          <w:sz w:val="26"/>
          <w:lang w:val="ro-RO"/>
        </w:rPr>
        <w:t>.</w:t>
      </w:r>
      <w:r>
        <w:rPr>
          <w:rFonts w:hint="default"/>
          <w:color w:val="333333"/>
          <w:sz w:val="26"/>
          <w:lang w:val="en-US"/>
        </w:rPr>
        <w:t xml:space="preserve"> </w:t>
      </w:r>
    </w:p>
    <w:p>
      <w:pPr>
        <w:ind w:firstLine="720"/>
        <w:jc w:val="both"/>
        <w:rPr>
          <w:color w:val="333333"/>
          <w:sz w:val="26"/>
          <w:lang w:val="fr-FR"/>
        </w:rPr>
      </w:pPr>
      <w:r>
        <w:rPr>
          <w:color w:val="333333"/>
          <w:sz w:val="26"/>
          <w:lang w:val="fr-FR"/>
        </w:rPr>
        <w:t xml:space="preserve">7. Preţul minim de pornire la licitaţie  va fi de  </w:t>
      </w:r>
      <w:r>
        <w:rPr>
          <w:color w:val="333333"/>
          <w:sz w:val="26"/>
          <w:lang w:val="ro-RO"/>
        </w:rPr>
        <w:t>1</w:t>
      </w:r>
      <w:r>
        <w:rPr>
          <w:color w:val="333333"/>
          <w:sz w:val="26"/>
          <w:lang w:val="fr-FR"/>
        </w:rPr>
        <w:t xml:space="preserve"> euro/mp/lună</w:t>
      </w:r>
      <w:r>
        <w:rPr>
          <w:rFonts w:hint="default"/>
          <w:color w:val="333333"/>
          <w:sz w:val="26"/>
          <w:lang w:val="en-US"/>
        </w:rPr>
        <w:t xml:space="preserve">  </w:t>
      </w:r>
      <w:r>
        <w:rPr>
          <w:color w:val="333333"/>
          <w:sz w:val="26"/>
          <w:lang w:val="fr-FR"/>
        </w:rPr>
        <w:t xml:space="preserve">. Chiria rezultată în urma licitaţiei publice v-a fi stipulată, în contactul de închiriere, în moneda Uniunii Europene şi se v-a plăti  în lei, la cursul valutar stabilit de BNR pentru ziua plăţii. </w:t>
      </w:r>
    </w:p>
    <w:p>
      <w:pPr>
        <w:pStyle w:val="5"/>
        <w:ind w:firstLine="720"/>
        <w:jc w:val="left"/>
        <w:rPr>
          <w:i/>
          <w:sz w:val="26"/>
        </w:rPr>
      </w:pPr>
      <w:r>
        <w:rPr>
          <w:i/>
          <w:sz w:val="26"/>
        </w:rPr>
        <w:t xml:space="preserve">8. Pasul de licitaţie : </w:t>
      </w:r>
    </w:p>
    <w:p>
      <w:pPr>
        <w:ind w:firstLine="720"/>
        <w:jc w:val="both"/>
        <w:rPr>
          <w:color w:val="333333"/>
          <w:sz w:val="26"/>
          <w:lang w:val="fr-FR"/>
        </w:rPr>
      </w:pPr>
      <w:r>
        <w:rPr>
          <w:b/>
          <w:bCs/>
          <w:color w:val="333333"/>
          <w:sz w:val="26"/>
          <w:lang w:val="fr-FR"/>
        </w:rPr>
        <w:t xml:space="preserve"> </w:t>
      </w:r>
      <w:r>
        <w:rPr>
          <w:i/>
          <w:sz w:val="26"/>
          <w:lang w:val="fr-FR"/>
        </w:rPr>
        <w:t xml:space="preserve">0,05euro </w:t>
      </w:r>
      <w:r>
        <w:rPr>
          <w:color w:val="333333"/>
          <w:sz w:val="26"/>
          <w:lang w:val="fr-FR"/>
        </w:rPr>
        <w:t xml:space="preserve"> </w:t>
      </w:r>
    </w:p>
    <w:p>
      <w:pPr>
        <w:ind w:firstLine="720"/>
        <w:jc w:val="both"/>
        <w:rPr>
          <w:color w:val="333333"/>
          <w:sz w:val="26"/>
          <w:lang w:val="ro-RO"/>
        </w:rPr>
      </w:pPr>
      <w:r>
        <w:rPr>
          <w:color w:val="333333"/>
          <w:sz w:val="26"/>
          <w:lang w:val="ro-RO"/>
        </w:rPr>
        <w:t xml:space="preserve">9.Date privind contractul  de închiriere: </w:t>
      </w:r>
    </w:p>
    <w:p>
      <w:pPr>
        <w:pStyle w:val="6"/>
        <w:ind w:firstLine="0"/>
        <w:rPr>
          <w:color w:val="333333"/>
          <w:sz w:val="26"/>
          <w:lang w:val="ro-RO"/>
        </w:rPr>
      </w:pPr>
      <w:r>
        <w:rPr>
          <w:color w:val="333333"/>
          <w:sz w:val="26"/>
          <w:lang w:val="ro-RO"/>
        </w:rPr>
        <w:t xml:space="preserve">Contractul de închiriere se va încheia, în urma întocmirii procesului verbal al licitaţiei, în termen de 20 zile de la data adjudecării şi va cuprinde în principal drepturile şi obligaţiile celor două părţi, stabilite în conformitate cu prevederile legale în vigoare. </w:t>
      </w:r>
    </w:p>
    <w:p>
      <w:pPr>
        <w:jc w:val="both"/>
        <w:rPr>
          <w:color w:val="333333"/>
          <w:sz w:val="26"/>
          <w:lang w:val="ro-RO"/>
        </w:rPr>
      </w:pPr>
      <w:r>
        <w:rPr>
          <w:color w:val="333333"/>
          <w:sz w:val="26"/>
          <w:lang w:val="ro-RO"/>
        </w:rPr>
        <w:t>-Încetarea contractului  de închiriere va opera la data expirării termenului de închiriere şi în alte cazuri prevăzute în contract</w:t>
      </w:r>
    </w:p>
    <w:p>
      <w:pPr>
        <w:ind w:left="720"/>
        <w:jc w:val="both"/>
        <w:rPr>
          <w:color w:val="333333"/>
          <w:sz w:val="26"/>
          <w:lang w:val="ro-RO"/>
        </w:rPr>
      </w:pPr>
      <w:r>
        <w:rPr>
          <w:color w:val="333333"/>
          <w:sz w:val="26"/>
          <w:lang w:val="ro-RO"/>
        </w:rPr>
        <w:t xml:space="preserve">10.Soluţionarea litigiilor: </w:t>
      </w:r>
    </w:p>
    <w:p>
      <w:pPr>
        <w:ind w:left="720"/>
        <w:jc w:val="both"/>
        <w:rPr>
          <w:color w:val="333333"/>
          <w:sz w:val="26"/>
          <w:lang w:val="ro-RO"/>
        </w:rPr>
      </w:pPr>
      <w:r>
        <w:rPr>
          <w:color w:val="333333"/>
          <w:sz w:val="26"/>
          <w:lang w:val="ro-RO"/>
        </w:rPr>
        <w:t xml:space="preserve">Orice diferend apărut între părţile contractelor se v-a soluţiona pe cale amiabilă, </w:t>
      </w:r>
    </w:p>
    <w:p>
      <w:pPr>
        <w:jc w:val="both"/>
        <w:rPr>
          <w:color w:val="333333"/>
          <w:sz w:val="26"/>
          <w:lang w:val="ro-RO"/>
        </w:rPr>
      </w:pPr>
      <w:r>
        <w:rPr>
          <w:color w:val="333333"/>
          <w:sz w:val="26"/>
          <w:lang w:val="ro-RO"/>
        </w:rPr>
        <w:t xml:space="preserve">de comun acord. În cazul în care soluţionarea amiabilă a litigiului nu este posibilă, părţile se pot adresa instanţei judecătoreşti competente. </w:t>
      </w:r>
    </w:p>
    <w:p>
      <w:pPr>
        <w:jc w:val="both"/>
        <w:rPr>
          <w:color w:val="333333"/>
          <w:sz w:val="26"/>
          <w:lang w:val="ro-RO"/>
        </w:rPr>
      </w:pPr>
      <w:r>
        <w:rPr>
          <w:color w:val="333333"/>
          <w:sz w:val="26"/>
          <w:lang w:val="ro-RO"/>
        </w:rPr>
        <w:t xml:space="preserve"> </w:t>
      </w:r>
      <w:r>
        <w:rPr>
          <w:color w:val="333333"/>
          <w:sz w:val="26"/>
          <w:lang w:val="ro-RO"/>
        </w:rPr>
        <w:tab/>
      </w:r>
      <w:r>
        <w:rPr>
          <w:color w:val="333333"/>
          <w:sz w:val="26"/>
          <w:lang w:val="ro-RO"/>
        </w:rPr>
        <w:t xml:space="preserve">11.  Data şi locul desfăşurării licitaţiei :  organizarea licitaţiei a fost anunţată public prin intermediul a doua publicaţii şi prin afişarea unui anunţ la sediul primăriei. </w:t>
      </w:r>
    </w:p>
    <w:p>
      <w:pPr>
        <w:ind w:firstLine="720"/>
        <w:jc w:val="both"/>
        <w:rPr>
          <w:color w:val="333333"/>
          <w:sz w:val="26"/>
          <w:lang w:val="ro-RO"/>
        </w:rPr>
      </w:pPr>
      <w:r>
        <w:rPr>
          <w:color w:val="333333"/>
          <w:sz w:val="26"/>
          <w:lang w:val="ro-RO"/>
        </w:rPr>
        <w:t>Licitaţia se va desfăşura în data de 2</w:t>
      </w:r>
      <w:r>
        <w:rPr>
          <w:rFonts w:hint="default"/>
          <w:color w:val="333333"/>
          <w:sz w:val="26"/>
          <w:lang w:val="ro-RO"/>
        </w:rPr>
        <w:t>0</w:t>
      </w:r>
      <w:r>
        <w:rPr>
          <w:color w:val="333333"/>
          <w:sz w:val="26"/>
          <w:lang w:val="ro-RO"/>
        </w:rPr>
        <w:t>.04.20</w:t>
      </w:r>
      <w:r>
        <w:rPr>
          <w:rFonts w:hint="default"/>
          <w:color w:val="333333"/>
          <w:sz w:val="26"/>
          <w:lang w:val="en-US"/>
        </w:rPr>
        <w:t>1</w:t>
      </w:r>
      <w:r>
        <w:rPr>
          <w:rFonts w:hint="default"/>
          <w:color w:val="333333"/>
          <w:sz w:val="26"/>
          <w:lang w:val="ro-RO"/>
        </w:rPr>
        <w:t>7</w:t>
      </w:r>
      <w:r>
        <w:rPr>
          <w:color w:val="333333"/>
          <w:sz w:val="26"/>
          <w:lang w:val="ro-RO"/>
        </w:rPr>
        <w:t>, orele 1</w:t>
      </w:r>
      <w:r>
        <w:rPr>
          <w:rFonts w:hint="default"/>
          <w:color w:val="333333"/>
          <w:sz w:val="26"/>
          <w:lang w:val="en-US"/>
        </w:rPr>
        <w:t>0</w:t>
      </w:r>
      <w:r>
        <w:rPr>
          <w:color w:val="333333"/>
          <w:sz w:val="26"/>
          <w:lang w:val="ro-RO"/>
        </w:rPr>
        <w:t>, la sediul Primăriei Comunei Căpuşu Mare din localitatea Căpuşu Mare, nr. 24</w:t>
      </w:r>
      <w:r>
        <w:rPr>
          <w:rFonts w:hint="default"/>
          <w:color w:val="333333"/>
          <w:sz w:val="26"/>
          <w:lang w:val="en-US"/>
        </w:rPr>
        <w:t xml:space="preserve"> A</w:t>
      </w:r>
      <w:r>
        <w:rPr>
          <w:color w:val="333333"/>
          <w:sz w:val="26"/>
          <w:lang w:val="ro-RO"/>
        </w:rPr>
        <w:t xml:space="preserve">. </w:t>
      </w:r>
    </w:p>
    <w:p>
      <w:pPr>
        <w:jc w:val="both"/>
        <w:rPr>
          <w:color w:val="333333"/>
          <w:lang w:val="fr-FR"/>
        </w:rPr>
      </w:pPr>
      <w:r>
        <w:rPr>
          <w:color w:val="333333"/>
          <w:lang w:val="ro-RO"/>
        </w:rPr>
        <w:t xml:space="preserve"> </w:t>
      </w:r>
      <w:r>
        <w:rPr>
          <w:rFonts w:hint="default"/>
          <w:color w:val="333333"/>
          <w:lang w:val="ro-RO"/>
        </w:rPr>
        <w:tab/>
      </w:r>
      <w:r>
        <w:rPr>
          <w:color w:val="333333"/>
          <w:lang w:val="fr-FR"/>
        </w:rPr>
        <w:t xml:space="preserve">În </w:t>
      </w:r>
      <w:r>
        <w:rPr>
          <w:rFonts w:hint="default"/>
          <w:color w:val="333333"/>
          <w:lang w:val="ro-RO"/>
        </w:rPr>
        <w:t>cazul în care se va prezenta un singur ofertant</w:t>
      </w:r>
      <w:r>
        <w:rPr>
          <w:color w:val="333333"/>
          <w:lang w:val="fr-FR"/>
        </w:rPr>
        <w:t xml:space="preserve">, </w:t>
      </w:r>
      <w:r>
        <w:rPr>
          <w:rFonts w:hint="default"/>
          <w:color w:val="333333"/>
          <w:lang w:val="ro-RO"/>
        </w:rPr>
        <w:t xml:space="preserve"> se va proceda la negocierea directa a inchirierii.</w:t>
      </w:r>
      <w:r>
        <w:rPr>
          <w:color w:val="333333"/>
          <w:lang w:val="fr-FR"/>
        </w:rPr>
        <w:t xml:space="preserve">  </w:t>
      </w:r>
    </w:p>
    <w:p>
      <w:pPr>
        <w:jc w:val="both"/>
        <w:rPr>
          <w:color w:val="333333"/>
          <w:sz w:val="28"/>
          <w:szCs w:val="28"/>
          <w:lang w:val="ro-RO"/>
        </w:rPr>
      </w:pPr>
      <w:r>
        <w:rPr>
          <w:color w:val="333333"/>
          <w:sz w:val="26"/>
          <w:lang w:val="ro-RO"/>
        </w:rPr>
        <w:t xml:space="preserve">    </w:t>
      </w:r>
      <w:r>
        <w:rPr>
          <w:color w:val="333333"/>
          <w:sz w:val="28"/>
          <w:szCs w:val="28"/>
          <w:lang w:val="ro-RO"/>
        </w:rPr>
        <w:t xml:space="preserve">12. Dispoziţii finale: </w:t>
      </w:r>
    </w:p>
    <w:p>
      <w:pPr>
        <w:ind w:firstLine="420" w:firstLineChars="0"/>
        <w:jc w:val="both"/>
        <w:rPr>
          <w:color w:val="333333"/>
          <w:sz w:val="28"/>
          <w:szCs w:val="28"/>
          <w:lang w:val="ro-RO"/>
        </w:rPr>
      </w:pPr>
      <w:r>
        <w:rPr>
          <w:color w:val="333333"/>
          <w:sz w:val="28"/>
          <w:szCs w:val="28"/>
          <w:lang w:val="ro-RO"/>
        </w:rPr>
        <w:t>Drepturile şi îndatoririle părţilor se stabilesc prin contractul de închiriere.</w:t>
      </w:r>
    </w:p>
    <w:p>
      <w:pPr>
        <w:jc w:val="both"/>
        <w:rPr>
          <w:color w:val="333333"/>
          <w:sz w:val="28"/>
          <w:szCs w:val="28"/>
          <w:lang w:val="ro-RO"/>
        </w:rPr>
      </w:pPr>
      <w:r>
        <w:rPr>
          <w:color w:val="333333"/>
          <w:sz w:val="28"/>
          <w:szCs w:val="28"/>
          <w:lang w:val="ro-RO"/>
        </w:rPr>
        <w:tab/>
      </w:r>
      <w:r>
        <w:rPr>
          <w:color w:val="333333"/>
          <w:sz w:val="28"/>
          <w:szCs w:val="28"/>
          <w:lang w:val="ro-RO"/>
        </w:rPr>
        <w:t xml:space="preserve">Documentele licitaţiei se pot procura contra cost de la secretariatul primăriei  preţul acestuia fiind de </w:t>
      </w:r>
      <w:r>
        <w:rPr>
          <w:rFonts w:hint="default"/>
          <w:color w:val="333333"/>
          <w:sz w:val="28"/>
          <w:szCs w:val="28"/>
          <w:lang w:val="en-US"/>
        </w:rPr>
        <w:t>1</w:t>
      </w:r>
      <w:r>
        <w:rPr>
          <w:color w:val="333333"/>
          <w:sz w:val="28"/>
          <w:szCs w:val="28"/>
          <w:lang w:val="ro-RO"/>
        </w:rPr>
        <w:t xml:space="preserve">0 ron. </w:t>
      </w:r>
    </w:p>
    <w:p>
      <w:pPr>
        <w:jc w:val="both"/>
        <w:rPr>
          <w:color w:val="333333"/>
          <w:sz w:val="26"/>
          <w:lang w:val="ro-RO"/>
        </w:rPr>
      </w:pPr>
    </w:p>
    <w:p>
      <w:pPr>
        <w:jc w:val="both"/>
        <w:rPr>
          <w:color w:val="333333"/>
          <w:lang w:val="ro-RO"/>
        </w:rPr>
      </w:pPr>
    </w:p>
    <w:p>
      <w:pPr>
        <w:ind w:firstLine="720"/>
        <w:jc w:val="both"/>
        <w:rPr>
          <w:color w:val="333333"/>
          <w:lang w:val="ro-RO"/>
        </w:rPr>
      </w:pPr>
    </w:p>
    <w:p>
      <w:pPr>
        <w:ind w:firstLine="720"/>
        <w:jc w:val="both"/>
        <w:rPr>
          <w:b/>
          <w:color w:val="333333"/>
          <w:lang w:val="ro-RO"/>
        </w:rPr>
      </w:pPr>
      <w:r>
        <w:rPr>
          <w:color w:val="333333"/>
          <w:lang w:val="ro-RO"/>
        </w:rPr>
        <w:tab/>
      </w:r>
      <w:r>
        <w:rPr>
          <w:color w:val="333333"/>
          <w:lang w:val="ro-RO"/>
        </w:rPr>
        <w:t xml:space="preserve">    </w:t>
      </w:r>
      <w:r>
        <w:rPr>
          <w:b/>
          <w:color w:val="333333"/>
          <w:lang w:val="ro-RO"/>
        </w:rPr>
        <w:t xml:space="preserve">PRIMAR, </w:t>
      </w:r>
    </w:p>
    <w:p>
      <w:pPr>
        <w:ind w:firstLine="720"/>
        <w:jc w:val="both"/>
        <w:rPr>
          <w:b/>
          <w:color w:val="333333"/>
          <w:lang w:val="ro-RO"/>
        </w:rPr>
      </w:pPr>
      <w:r>
        <w:rPr>
          <w:rFonts w:hint="default"/>
          <w:b/>
          <w:color w:val="333333"/>
          <w:lang w:val="en-US"/>
        </w:rPr>
        <w:t xml:space="preserve">           Iancu Gheorghe</w:t>
      </w:r>
      <w:r>
        <w:rPr>
          <w:b/>
          <w:color w:val="333333"/>
          <w:lang w:val="ro-RO"/>
        </w:rPr>
        <w:tab/>
      </w:r>
      <w:r>
        <w:rPr>
          <w:b/>
          <w:color w:val="333333"/>
          <w:lang w:val="ro-RO"/>
        </w:rPr>
        <w:tab/>
      </w:r>
      <w:r>
        <w:rPr>
          <w:b/>
          <w:color w:val="333333"/>
          <w:lang w:val="ro-RO"/>
        </w:rPr>
        <w:tab/>
      </w:r>
      <w:r>
        <w:rPr>
          <w:b/>
          <w:color w:val="333333"/>
          <w:lang w:val="ro-RO"/>
        </w:rPr>
        <w:tab/>
      </w: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ind w:firstLine="720"/>
        <w:jc w:val="both"/>
        <w:rPr>
          <w:color w:val="333333"/>
          <w:lang w:val="ro-RO"/>
        </w:rPr>
      </w:pPr>
    </w:p>
    <w:p>
      <w:pPr>
        <w:jc w:val="both"/>
        <w:rPr>
          <w:color w:val="333333"/>
          <w:lang w:val="ro-RO"/>
        </w:rPr>
      </w:pPr>
      <w:r>
        <w:rPr>
          <w:color w:val="333333"/>
          <w:lang w:val="ro-RO"/>
        </w:rPr>
        <w:t>ROMÂNIA</w:t>
      </w:r>
    </w:p>
    <w:p>
      <w:pPr>
        <w:jc w:val="both"/>
        <w:rPr>
          <w:color w:val="333333"/>
          <w:lang w:val="ro-RO"/>
        </w:rPr>
      </w:pPr>
      <w:r>
        <w:rPr>
          <w:color w:val="333333"/>
          <w:lang w:val="ro-RO"/>
        </w:rPr>
        <w:t>JUDEŢUL CLUJ</w:t>
      </w:r>
    </w:p>
    <w:p>
      <w:pPr>
        <w:jc w:val="both"/>
        <w:rPr>
          <w:color w:val="333333"/>
          <w:lang w:val="ro-RO"/>
        </w:rPr>
      </w:pPr>
      <w:r>
        <w:rPr>
          <w:color w:val="333333"/>
          <w:lang w:val="ro-RO"/>
        </w:rPr>
        <w:t>COMUNA CĂPUŞU MARE</w:t>
      </w:r>
    </w:p>
    <w:p>
      <w:pPr>
        <w:jc w:val="both"/>
        <w:rPr>
          <w:color w:val="333333"/>
          <w:lang w:val="ro-RO"/>
        </w:rPr>
      </w:pPr>
      <w:r>
        <w:rPr>
          <w:color w:val="333333"/>
          <w:lang w:val="ro-RO"/>
        </w:rPr>
        <w:t>PRIMĂRIA</w:t>
      </w:r>
    </w:p>
    <w:p>
      <w:pPr>
        <w:jc w:val="both"/>
        <w:rPr>
          <w:color w:val="333333"/>
          <w:lang w:val="ro-RO"/>
        </w:rPr>
      </w:pPr>
    </w:p>
    <w:p>
      <w:pPr>
        <w:jc w:val="both"/>
        <w:rPr>
          <w:color w:val="333333"/>
          <w:lang w:val="ro-RO"/>
        </w:rPr>
      </w:pPr>
    </w:p>
    <w:p>
      <w:pPr>
        <w:jc w:val="both"/>
        <w:rPr>
          <w:color w:val="333333"/>
          <w:lang w:val="ro-RO"/>
        </w:rPr>
      </w:pPr>
    </w:p>
    <w:p>
      <w:pPr>
        <w:jc w:val="center"/>
        <w:rPr>
          <w:color w:val="333333"/>
          <w:lang w:val="ro-RO"/>
        </w:rPr>
      </w:pPr>
      <w:r>
        <w:rPr>
          <w:color w:val="333333"/>
          <w:lang w:val="ro-RO"/>
        </w:rPr>
        <w:t>DESFĂŞURĂTORUL</w:t>
      </w: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r>
        <w:rPr>
          <w:color w:val="333333"/>
          <w:lang w:val="ro-RO"/>
        </w:rPr>
        <w:t xml:space="preserve">Temeiul juridic al  licitaţiei : </w:t>
      </w:r>
      <w:r>
        <w:rPr>
          <w:rFonts w:hint="default"/>
          <w:color w:val="333333"/>
          <w:lang w:val="ro-RO"/>
        </w:rPr>
        <w:t>HCL 55 /2015</w:t>
      </w:r>
    </w:p>
    <w:p>
      <w:pPr>
        <w:numPr>
          <w:ilvl w:val="0"/>
          <w:numId w:val="1"/>
        </w:numPr>
        <w:jc w:val="both"/>
        <w:rPr>
          <w:color w:val="333333"/>
          <w:lang w:val="ro-RO"/>
        </w:rPr>
      </w:pPr>
      <w:r>
        <w:rPr>
          <w:color w:val="333333"/>
          <w:lang w:val="ro-RO"/>
        </w:rPr>
        <w:t xml:space="preserve">Data apariţiei anunţului în presă : 02.04.2017 </w:t>
      </w:r>
    </w:p>
    <w:p>
      <w:pPr>
        <w:numPr>
          <w:ilvl w:val="0"/>
          <w:numId w:val="1"/>
        </w:numPr>
        <w:jc w:val="both"/>
        <w:rPr>
          <w:color w:val="333333"/>
          <w:lang w:val="ro-RO"/>
        </w:rPr>
      </w:pPr>
      <w:r>
        <w:rPr>
          <w:color w:val="333333"/>
          <w:lang w:val="ro-RO"/>
        </w:rPr>
        <w:t xml:space="preserve">Publicaţia: Monitorul de Cluj </w:t>
      </w:r>
    </w:p>
    <w:p>
      <w:pPr>
        <w:numPr>
          <w:ilvl w:val="0"/>
          <w:numId w:val="1"/>
        </w:numPr>
        <w:jc w:val="both"/>
        <w:rPr>
          <w:color w:val="333333"/>
          <w:lang w:val="ro-RO"/>
        </w:rPr>
      </w:pPr>
      <w:r>
        <w:rPr>
          <w:color w:val="333333"/>
          <w:lang w:val="ro-RO"/>
        </w:rPr>
        <w:t>Termenul limită  de obtinere a documenta</w:t>
      </w:r>
      <w:r>
        <w:rPr>
          <w:rFonts w:hint="default"/>
          <w:color w:val="333333"/>
          <w:lang w:val="ro-RO"/>
        </w:rPr>
        <w:t>t</w:t>
      </w:r>
      <w:r>
        <w:rPr>
          <w:color w:val="333333"/>
          <w:lang w:val="ro-RO"/>
        </w:rPr>
        <w:t xml:space="preserve">iei de participare la licitaţie: </w:t>
      </w:r>
      <w:r>
        <w:rPr>
          <w:rFonts w:hint="default"/>
          <w:color w:val="333333"/>
          <w:lang w:val="ro-RO"/>
        </w:rPr>
        <w:t>20</w:t>
      </w:r>
      <w:r>
        <w:rPr>
          <w:color w:val="333333"/>
          <w:lang w:val="ro-RO"/>
        </w:rPr>
        <w:t>.04.20</w:t>
      </w:r>
      <w:r>
        <w:rPr>
          <w:rFonts w:hint="default"/>
          <w:color w:val="333333"/>
          <w:lang w:val="ro-RO"/>
        </w:rPr>
        <w:t>17</w:t>
      </w:r>
      <w:r>
        <w:rPr>
          <w:color w:val="333333"/>
          <w:lang w:val="ro-RO"/>
        </w:rPr>
        <w:t xml:space="preserve"> orele </w:t>
      </w:r>
      <w:r>
        <w:rPr>
          <w:rFonts w:hint="default"/>
          <w:color w:val="333333"/>
          <w:lang w:val="ro-RO"/>
        </w:rPr>
        <w:t>9</w:t>
      </w:r>
      <w:r>
        <w:rPr>
          <w:color w:val="333333"/>
          <w:lang w:val="ro-RO"/>
        </w:rPr>
        <w:t>.</w:t>
      </w:r>
    </w:p>
    <w:p>
      <w:pPr>
        <w:numPr>
          <w:ilvl w:val="0"/>
          <w:numId w:val="1"/>
        </w:numPr>
        <w:jc w:val="both"/>
        <w:rPr>
          <w:color w:val="333333"/>
          <w:lang w:val="fr-FR"/>
        </w:rPr>
      </w:pPr>
      <w:r>
        <w:rPr>
          <w:color w:val="333333"/>
          <w:lang w:val="ro-RO"/>
        </w:rPr>
        <w:t xml:space="preserve">Data şi locul desfăşurării licitaţiei: </w:t>
      </w:r>
      <w:r>
        <w:rPr>
          <w:rFonts w:hint="default"/>
          <w:color w:val="333333"/>
          <w:lang w:val="ro-RO"/>
        </w:rPr>
        <w:t>20</w:t>
      </w:r>
      <w:r>
        <w:rPr>
          <w:color w:val="333333"/>
          <w:lang w:val="ro-RO"/>
        </w:rPr>
        <w:t>.04.20</w:t>
      </w:r>
      <w:r>
        <w:rPr>
          <w:rFonts w:hint="default"/>
          <w:color w:val="333333"/>
          <w:lang w:val="ro-RO"/>
        </w:rPr>
        <w:t>17</w:t>
      </w:r>
      <w:r>
        <w:rPr>
          <w:color w:val="333333"/>
          <w:lang w:val="ro-RO"/>
        </w:rPr>
        <w:t>, orele 1</w:t>
      </w:r>
      <w:r>
        <w:rPr>
          <w:rFonts w:hint="default"/>
          <w:color w:val="333333"/>
          <w:lang w:val="ro-RO"/>
        </w:rPr>
        <w:t>0</w:t>
      </w:r>
      <w:r>
        <w:rPr>
          <w:color w:val="333333"/>
          <w:lang w:val="ro-RO"/>
        </w:rPr>
        <w:t xml:space="preserve">, la sediul Primăriei </w:t>
      </w:r>
    </w:p>
    <w:p>
      <w:pPr>
        <w:jc w:val="both"/>
        <w:rPr>
          <w:color w:val="333333"/>
          <w:lang w:val="fr-FR"/>
        </w:rPr>
      </w:pPr>
      <w:r>
        <w:rPr>
          <w:color w:val="333333"/>
          <w:lang w:val="ro-RO"/>
        </w:rPr>
        <w:t xml:space="preserve">Comunei Căpuşu Mare din localitatea, Căpuşu Mare, nr. 24 </w:t>
      </w:r>
      <w:r>
        <w:rPr>
          <w:rFonts w:hint="default"/>
          <w:color w:val="333333"/>
          <w:lang w:val="en-US"/>
        </w:rPr>
        <w:t>A</w:t>
      </w:r>
      <w:r>
        <w:rPr>
          <w:color w:val="333333"/>
          <w:lang w:val="ro-RO"/>
        </w:rPr>
        <w:t xml:space="preserve">. </w:t>
      </w:r>
      <w:r>
        <w:rPr>
          <w:color w:val="333333"/>
          <w:lang w:val="fr-FR"/>
        </w:rPr>
        <w:t>În caz</w:t>
      </w:r>
      <w:r>
        <w:rPr>
          <w:rFonts w:hint="default"/>
          <w:color w:val="333333"/>
          <w:lang w:val="en-US"/>
        </w:rPr>
        <w:t xml:space="preserve">ul </w:t>
      </w:r>
      <w:r>
        <w:rPr>
          <w:rFonts w:hint="default"/>
          <w:color w:val="333333"/>
          <w:lang w:val="ro-RO"/>
        </w:rPr>
        <w:t>în</w:t>
      </w:r>
      <w:r>
        <w:rPr>
          <w:rFonts w:hint="default"/>
          <w:color w:val="333333"/>
          <w:lang w:val="en-US"/>
        </w:rPr>
        <w:t xml:space="preserve"> care </w:t>
      </w:r>
      <w:r>
        <w:rPr>
          <w:color w:val="333333"/>
          <w:lang w:val="fr-FR"/>
        </w:rPr>
        <w:t xml:space="preserve"> </w:t>
      </w:r>
      <w:r>
        <w:rPr>
          <w:rFonts w:hint="default"/>
          <w:color w:val="333333"/>
          <w:lang w:val="ro-RO"/>
        </w:rPr>
        <w:t>se va depune o singura oferta se va proceda la negocierea directa a inchirierii</w:t>
      </w:r>
      <w:r>
        <w:rPr>
          <w:color w:val="333333"/>
          <w:lang w:val="fr-FR"/>
        </w:rPr>
        <w:t xml:space="preserve">  </w:t>
      </w:r>
    </w:p>
    <w:p>
      <w:pPr>
        <w:numPr>
          <w:ilvl w:val="0"/>
          <w:numId w:val="1"/>
        </w:numPr>
        <w:jc w:val="both"/>
        <w:rPr>
          <w:color w:val="333333"/>
          <w:lang w:val="ro-RO"/>
        </w:rPr>
      </w:pPr>
      <w:r>
        <w:rPr>
          <w:color w:val="333333"/>
          <w:lang w:val="ro-RO"/>
        </w:rPr>
        <w:t xml:space="preserve">Data încheierii contractului : </w:t>
      </w:r>
      <w:r>
        <w:rPr>
          <w:rFonts w:hint="default"/>
          <w:color w:val="333333"/>
          <w:lang w:val="ro-RO"/>
        </w:rPr>
        <w:t xml:space="preserve">maxim </w:t>
      </w:r>
      <w:r>
        <w:rPr>
          <w:color w:val="333333"/>
          <w:lang w:val="ro-RO"/>
        </w:rPr>
        <w:t>20 zile de la data desfăşurării licitaţiei.</w:t>
      </w:r>
    </w:p>
    <w:p>
      <w:pPr>
        <w:numPr>
          <w:ilvl w:val="0"/>
          <w:numId w:val="1"/>
        </w:numPr>
        <w:jc w:val="both"/>
        <w:rPr>
          <w:color w:val="333333"/>
          <w:lang w:val="ro-RO"/>
        </w:rPr>
      </w:pPr>
      <w:r>
        <w:rPr>
          <w:color w:val="333333"/>
          <w:lang w:val="ro-RO"/>
        </w:rPr>
        <w:t xml:space="preserve">Condiţii de participare la licitaţie : la licitaţie poate participa orice persoană fizică sau juridică, cu condiţia prezentării următoarelor documente: </w:t>
      </w:r>
    </w:p>
    <w:p>
      <w:pPr>
        <w:jc w:val="both"/>
        <w:rPr>
          <w:color w:val="333333"/>
          <w:lang w:val="ro-RO"/>
        </w:rPr>
      </w:pPr>
      <w:r>
        <w:rPr>
          <w:color w:val="333333"/>
          <w:lang w:val="ro-RO"/>
        </w:rPr>
        <w:t>- contractul cadru de inchiriere semnat si insusit</w:t>
      </w:r>
    </w:p>
    <w:p>
      <w:pPr>
        <w:pStyle w:val="5"/>
        <w:jc w:val="left"/>
      </w:pPr>
      <w:r>
        <w:t xml:space="preserve">-certificatul de inregistrare în registrul comerţului şi împuternicirea pentru persoana delegată a reprezenta firma la licitaţie ;  </w:t>
      </w:r>
    </w:p>
    <w:p>
      <w:pPr>
        <w:jc w:val="both"/>
        <w:rPr>
          <w:color w:val="333333"/>
          <w:lang w:val="ro-RO"/>
        </w:rPr>
      </w:pPr>
      <w:r>
        <w:rPr>
          <w:color w:val="333333"/>
          <w:lang w:val="ro-RO"/>
        </w:rPr>
        <w:t xml:space="preserve">-dovada depunerii garanţiei de participare la licitaţie, a taxei de participare la licitaţie şi a achitării contravalorii caietului de sarcini. </w:t>
      </w:r>
    </w:p>
    <w:p>
      <w:pPr>
        <w:ind w:firstLine="360"/>
        <w:jc w:val="both"/>
        <w:rPr>
          <w:rFonts w:hint="default"/>
          <w:color w:val="333333"/>
          <w:lang w:val="ro-RO"/>
        </w:rPr>
      </w:pPr>
      <w:r>
        <w:rPr>
          <w:rFonts w:hint="default"/>
          <w:color w:val="333333"/>
          <w:lang w:val="ro-RO"/>
        </w:rPr>
        <w:t>Vor fi descalificati ofertanti care au avut contracte de inchiriere cu comuna Capusu Mare si au inceta din culpa acestora</w:t>
      </w:r>
    </w:p>
    <w:p>
      <w:pPr>
        <w:ind w:firstLine="360"/>
        <w:jc w:val="both"/>
        <w:rPr>
          <w:color w:val="333333"/>
          <w:lang w:val="ro-RO"/>
        </w:rPr>
      </w:pPr>
      <w:r>
        <w:rPr>
          <w:color w:val="333333"/>
          <w:lang w:val="ro-RO"/>
        </w:rPr>
        <w:t xml:space="preserve">8. Taxa de participare la licitaţie : 10 ron. Această taxă se va achita la casieria </w:t>
      </w:r>
    </w:p>
    <w:p>
      <w:pPr>
        <w:jc w:val="both"/>
        <w:rPr>
          <w:color w:val="333333"/>
          <w:lang w:val="ro-RO"/>
        </w:rPr>
      </w:pPr>
      <w:r>
        <w:rPr>
          <w:color w:val="333333"/>
          <w:lang w:val="ro-RO"/>
        </w:rPr>
        <w:t>primăriei, anterior începerii licitaţiei.</w:t>
      </w:r>
    </w:p>
    <w:p>
      <w:pPr>
        <w:ind w:firstLine="360"/>
        <w:jc w:val="both"/>
        <w:rPr>
          <w:color w:val="333333"/>
          <w:lang w:val="ro-RO"/>
        </w:rPr>
      </w:pPr>
      <w:r>
        <w:rPr>
          <w:color w:val="333333"/>
          <w:lang w:val="ro-RO"/>
        </w:rPr>
        <w:t>9. Garanţia de participare la licitaţie : 200 ron.</w:t>
      </w:r>
      <w:bookmarkStart w:id="0" w:name="_GoBack"/>
      <w:bookmarkEnd w:id="0"/>
      <w:r>
        <w:rPr>
          <w:color w:val="333333"/>
          <w:lang w:val="ro-RO"/>
        </w:rPr>
        <w:t xml:space="preserve"> </w:t>
      </w:r>
      <w:r>
        <w:rPr>
          <w:color w:val="333333"/>
          <w:lang w:val="fr-FR"/>
        </w:rPr>
        <w:t xml:space="preserve">Pentru ofertantul câştigător al licitaţiei, suma depusă cu titlu de garanţie se va considera un avans la chirie. </w:t>
      </w:r>
      <w:r>
        <w:rPr>
          <w:color w:val="333333"/>
        </w:rPr>
        <w:t>Garanţia se va depune la casieria primăriei anterior licitaţiei.</w:t>
      </w:r>
    </w:p>
    <w:p>
      <w:pPr>
        <w:numPr>
          <w:numId w:val="0"/>
        </w:numPr>
        <w:ind w:left="330" w:leftChars="0"/>
        <w:jc w:val="both"/>
        <w:rPr>
          <w:color w:val="333333"/>
          <w:lang w:val="ro-RO"/>
        </w:rPr>
      </w:pPr>
      <w:r>
        <w:rPr>
          <w:color w:val="333333"/>
          <w:lang w:val="ro-RO"/>
        </w:rPr>
        <w:t xml:space="preserve">10. Costul documentelor licitaţiei : </w:t>
      </w:r>
      <w:r>
        <w:rPr>
          <w:rFonts w:hint="default"/>
          <w:color w:val="333333"/>
          <w:lang w:val="ro-RO"/>
        </w:rPr>
        <w:t>1</w:t>
      </w:r>
      <w:r>
        <w:rPr>
          <w:color w:val="333333"/>
          <w:lang w:val="ro-RO"/>
        </w:rPr>
        <w:t>0 ron şi se v-a achita la casieria primăriei, anterior începerii licitaţiei.</w:t>
      </w: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p>
    <w:p>
      <w:pPr>
        <w:jc w:val="both"/>
        <w:rPr>
          <w:color w:val="333333"/>
          <w:lang w:val="ro-RO"/>
        </w:rPr>
      </w:pPr>
    </w:p>
    <w:p>
      <w:pPr>
        <w:pStyle w:val="3"/>
        <w:jc w:val="center"/>
        <w:rPr>
          <w:sz w:val="36"/>
        </w:rPr>
      </w:pPr>
    </w:p>
    <w:p>
      <w:pPr>
        <w:pStyle w:val="3"/>
        <w:jc w:val="center"/>
        <w:rPr>
          <w:sz w:val="36"/>
        </w:rPr>
      </w:pPr>
    </w:p>
    <w:p>
      <w:pPr>
        <w:pStyle w:val="3"/>
        <w:jc w:val="center"/>
        <w:rPr>
          <w:sz w:val="36"/>
        </w:rPr>
      </w:pPr>
      <w:r>
        <w:rPr>
          <w:sz w:val="36"/>
        </w:rPr>
        <w:t>OFERTĂ</w:t>
      </w:r>
    </w:p>
    <w:p>
      <w:pPr>
        <w:jc w:val="center"/>
        <w:rPr>
          <w:b/>
          <w:bCs/>
          <w:color w:val="333333"/>
          <w:sz w:val="32"/>
          <w:lang w:val="ro-RO"/>
        </w:rPr>
      </w:pPr>
      <w:r>
        <w:rPr>
          <w:b/>
          <w:bCs/>
          <w:color w:val="333333"/>
          <w:sz w:val="32"/>
          <w:lang w:val="ro-RO"/>
        </w:rPr>
        <w:t>LA LICITAŢIA PUBLICĂ DESCHISĂ</w:t>
      </w:r>
    </w:p>
    <w:p>
      <w:pPr>
        <w:jc w:val="center"/>
        <w:rPr>
          <w:color w:val="333333"/>
          <w:sz w:val="36"/>
          <w:lang w:val="ro-RO"/>
        </w:rPr>
      </w:pPr>
      <w:r>
        <w:rPr>
          <w:b/>
          <w:bCs/>
          <w:color w:val="333333"/>
          <w:sz w:val="32"/>
          <w:lang w:val="ro-RO"/>
        </w:rPr>
        <w:t xml:space="preserve">având ca obiect </w:t>
      </w:r>
      <w:r>
        <w:rPr>
          <w:b/>
          <w:bCs/>
          <w:sz w:val="32"/>
          <w:lang w:val="ro-RO"/>
        </w:rPr>
        <w:t xml:space="preserve">închirierea </w:t>
      </w:r>
      <w:r>
        <w:rPr>
          <w:b/>
          <w:bCs/>
          <w:sz w:val="32"/>
          <w:lang w:val="fr-FR"/>
        </w:rPr>
        <w:t xml:space="preserve"> imobilului _________________________</w:t>
      </w:r>
      <w:r>
        <w:rPr>
          <w:b/>
          <w:bCs/>
          <w:sz w:val="32"/>
          <w:lang w:val="ro-RO"/>
        </w:rPr>
        <w:t>în scopul desfăşurări unor activităţi _____________________</w:t>
      </w:r>
    </w:p>
    <w:p>
      <w:pPr>
        <w:jc w:val="center"/>
        <w:rPr>
          <w:color w:val="333333"/>
          <w:lang w:val="ro-RO"/>
        </w:rPr>
      </w:pPr>
    </w:p>
    <w:p>
      <w:pPr>
        <w:rPr>
          <w:color w:val="333333"/>
          <w:lang w:val="fr-FR"/>
        </w:rPr>
      </w:pPr>
    </w:p>
    <w:p>
      <w:pPr>
        <w:rPr>
          <w:color w:val="333333"/>
          <w:lang w:val="fr-FR"/>
        </w:rPr>
      </w:pPr>
    </w:p>
    <w:p>
      <w:pPr>
        <w:ind w:firstLine="720"/>
        <w:rPr>
          <w:color w:val="333333"/>
          <w:lang w:val="fr-FR"/>
        </w:rPr>
      </w:pPr>
      <w:r>
        <w:rPr>
          <w:color w:val="333333"/>
          <w:lang w:val="fr-FR"/>
        </w:rPr>
        <w:t xml:space="preserve">OFERTANT : </w:t>
      </w:r>
    </w:p>
    <w:p>
      <w:pPr>
        <w:pStyle w:val="4"/>
        <w:jc w:val="left"/>
        <w:rPr>
          <w:color w:val="333333"/>
        </w:rPr>
      </w:pPr>
      <w:r>
        <w:rPr>
          <w:color w:val="333333"/>
        </w:rPr>
        <w:t>Denumire …………............................................……......……</w:t>
      </w:r>
    </w:p>
    <w:p>
      <w:pPr>
        <w:pStyle w:val="4"/>
        <w:jc w:val="left"/>
        <w:rPr>
          <w:color w:val="333333"/>
        </w:rPr>
      </w:pPr>
      <w:r>
        <w:rPr>
          <w:color w:val="333333"/>
        </w:rPr>
        <w:t>Domiciliul/sediul……………………………………...............................………….</w:t>
      </w:r>
    </w:p>
    <w:p>
      <w:pPr>
        <w:pStyle w:val="4"/>
        <w:jc w:val="left"/>
        <w:rPr>
          <w:color w:val="333333"/>
        </w:rPr>
      </w:pPr>
      <w:r>
        <w:rPr>
          <w:color w:val="333333"/>
        </w:rPr>
        <w:t>Identificat prin……….…………………………………......................................….</w:t>
      </w:r>
    </w:p>
    <w:p>
      <w:pPr>
        <w:pStyle w:val="4"/>
        <w:jc w:val="left"/>
        <w:rPr>
          <w:color w:val="333333"/>
        </w:rPr>
      </w:pPr>
      <w:r>
        <w:rPr>
          <w:color w:val="333333"/>
        </w:rPr>
        <w:t>Reprezentat de către ……………………………................................……………..</w:t>
      </w:r>
    </w:p>
    <w:p>
      <w:pPr>
        <w:rPr>
          <w:color w:val="333333"/>
          <w:lang w:val="fr-FR"/>
        </w:rPr>
      </w:pPr>
      <w:r>
        <w:rPr>
          <w:color w:val="333333"/>
          <w:lang w:val="fr-FR"/>
        </w:rPr>
        <w:tab/>
      </w:r>
    </w:p>
    <w:p>
      <w:pPr>
        <w:rPr>
          <w:color w:val="333333"/>
          <w:lang w:val="fr-FR"/>
        </w:rPr>
      </w:pPr>
    </w:p>
    <w:p>
      <w:pPr>
        <w:pStyle w:val="2"/>
        <w:ind w:left="0" w:firstLine="720"/>
        <w:jc w:val="both"/>
        <w:rPr>
          <w:color w:val="333333"/>
          <w:lang w:val="fr-FR"/>
        </w:rPr>
      </w:pPr>
      <w:r>
        <w:rPr>
          <w:color w:val="333333"/>
          <w:lang w:val="fr-FR"/>
        </w:rPr>
        <w:t xml:space="preserve">Oferta mea de preţ la licitaţia deschisă având ca obiect închirierea, </w:t>
      </w:r>
      <w:r>
        <w:rPr>
          <w:lang w:val="fr-FR"/>
        </w:rPr>
        <w:t xml:space="preserve">pe o perioadă de </w:t>
      </w:r>
      <w:r>
        <w:rPr>
          <w:b/>
          <w:bCs/>
          <w:lang w:val="fr-FR"/>
        </w:rPr>
        <w:t>…………de ani</w:t>
      </w:r>
      <w:r>
        <w:rPr>
          <w:lang w:val="fr-FR"/>
        </w:rPr>
        <w:t xml:space="preserve">, a imobilului – </w:t>
      </w:r>
      <w:r>
        <w:rPr>
          <w:color w:val="333333"/>
          <w:lang w:val="fr-FR"/>
        </w:rPr>
        <w:t>spaţiu cu altă destinaţie decât cea de locuit, compus din _________________________în suprafaţă de_____ mp, situat în in localitatea _______________</w:t>
      </w:r>
      <w:r>
        <w:rPr>
          <w:lang w:val="fr-FR"/>
        </w:rPr>
        <w:t>,</w:t>
      </w:r>
      <w:r>
        <w:rPr>
          <w:lang w:val="ro-RO"/>
        </w:rPr>
        <w:t xml:space="preserve"> </w:t>
      </w:r>
      <w:r>
        <w:rPr>
          <w:color w:val="333333"/>
          <w:lang w:val="fr-FR"/>
        </w:rPr>
        <w:t xml:space="preserve">este de _______ euro/mp. </w:t>
      </w:r>
    </w:p>
    <w:p>
      <w:pPr>
        <w:jc w:val="both"/>
        <w:rPr>
          <w:lang w:val="fr-FR"/>
        </w:rPr>
      </w:pPr>
      <w:r>
        <w:rPr>
          <w:color w:val="333333"/>
          <w:lang w:val="fr-FR"/>
        </w:rPr>
        <w:t xml:space="preserve"> </w:t>
      </w:r>
      <w:r>
        <w:rPr>
          <w:lang w:val="fr-FR"/>
        </w:rPr>
        <w:tab/>
      </w:r>
      <w:r>
        <w:rPr>
          <w:lang w:val="fr-FR"/>
        </w:rPr>
        <w:t xml:space="preserve">Declar că </w:t>
      </w:r>
      <w:r>
        <w:rPr>
          <w:b/>
          <w:bCs/>
          <w:lang w:val="fr-FR"/>
        </w:rPr>
        <w:t>destinaţia</w:t>
      </w:r>
      <w:r>
        <w:rPr>
          <w:lang w:val="fr-FR"/>
        </w:rPr>
        <w:t xml:space="preserve"> pentru care vreau să închiriez spaţiul în cauză este următoarea: ……………………………………………………………………………, şi că am luat cunoştinţă  de  condiţiile de desfăşurare a licitaţiei şi sunt de acord cu toate obligaţiile  precizate în documentele licitaţiei, inclusiv contractul cadru de inchiriere, care cad în sarcina ofertanţilor. </w:t>
      </w:r>
    </w:p>
    <w:p>
      <w:pPr>
        <w:jc w:val="both"/>
        <w:rPr>
          <w:lang w:val="fr-FR"/>
        </w:rPr>
      </w:pPr>
      <w:r>
        <w:rPr>
          <w:lang w:val="fr-FR"/>
        </w:rPr>
        <w:t xml:space="preserve">           Deasemenea, declar că sunt de accord, ca în cazul nerespectării ultimei oferte făcute sau a obligaţiei de încheiere a contractului de închiriere în termenul precizat în documentele licitaţiei, cu pierderea dreptului de a solicita returnarea </w:t>
      </w:r>
      <w:r>
        <w:rPr>
          <w:color w:val="333333"/>
          <w:lang w:val="ro-RO"/>
        </w:rPr>
        <w:t>garanţiei de participare la licitaţie</w:t>
      </w:r>
      <w:r>
        <w:rPr>
          <w:lang w:val="fr-FR"/>
        </w:rPr>
        <w:t xml:space="preserve"> şi cu dreptul proprietarului de a solicita plata de daune interese în conformitate cu prevederile dreptului comun. </w:t>
      </w:r>
    </w:p>
    <w:p>
      <w:pPr>
        <w:pStyle w:val="4"/>
        <w:rPr>
          <w:color w:val="333333"/>
        </w:rPr>
      </w:pPr>
    </w:p>
    <w:p>
      <w:pPr>
        <w:pStyle w:val="4"/>
        <w:rPr>
          <w:color w:val="333333"/>
        </w:rPr>
      </w:pPr>
    </w:p>
    <w:p>
      <w:pPr>
        <w:rPr>
          <w:color w:val="333333"/>
          <w:lang w:val="fr-FR"/>
        </w:rPr>
      </w:pPr>
      <w:r>
        <w:rPr>
          <w:color w:val="333333"/>
          <w:lang w:val="fr-FR"/>
        </w:rPr>
        <w:tab/>
      </w:r>
      <w:r>
        <w:rPr>
          <w:color w:val="333333"/>
          <w:lang w:val="fr-FR"/>
        </w:rPr>
        <w:tab/>
      </w:r>
      <w:r>
        <w:rPr>
          <w:color w:val="333333"/>
          <w:lang w:val="fr-FR"/>
        </w:rPr>
        <w:tab/>
      </w:r>
      <w:r>
        <w:rPr>
          <w:color w:val="333333"/>
          <w:lang w:val="fr-FR"/>
        </w:rPr>
        <w:t xml:space="preserve">     Semnătura………………………</w:t>
      </w:r>
    </w:p>
    <w:p>
      <w:pPr>
        <w:rPr>
          <w:color w:val="333333"/>
          <w:sz w:val="24"/>
          <w:lang w:val="fr-FR"/>
        </w:rPr>
      </w:pPr>
      <w:r>
        <w:rPr>
          <w:color w:val="333333"/>
          <w:sz w:val="24"/>
          <w:lang w:val="fr-FR"/>
        </w:rPr>
        <w:t xml:space="preserve">                                               L.S.</w:t>
      </w:r>
    </w:p>
    <w:p/>
    <w:sectPr>
      <w:pgSz w:w="12240" w:h="15840"/>
      <w:pgMar w:top="709" w:right="1134" w:bottom="426"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23F4"/>
    <w:multiLevelType w:val="multilevel"/>
    <w:tmpl w:val="240623F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31C9E"/>
    <w:rsid w:val="21A31C9E"/>
    <w:rsid w:val="55FD58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8"/>
      <w:szCs w:val="22"/>
      <w:lang w:val="en-US" w:eastAsia="ro-RO" w:bidi="ar-SA"/>
    </w:rPr>
  </w:style>
  <w:style w:type="paragraph" w:styleId="2">
    <w:name w:val="heading 2"/>
    <w:basedOn w:val="1"/>
    <w:next w:val="1"/>
    <w:unhideWhenUsed/>
    <w:qFormat/>
    <w:uiPriority w:val="0"/>
    <w:pPr>
      <w:keepNext/>
      <w:ind w:left="2977" w:hanging="1559"/>
      <w:outlineLvl w:val="1"/>
    </w:pPr>
  </w:style>
  <w:style w:type="paragraph" w:styleId="3">
    <w:name w:val="heading 5"/>
    <w:basedOn w:val="1"/>
    <w:next w:val="1"/>
    <w:unhideWhenUsed/>
    <w:qFormat/>
    <w:uiPriority w:val="0"/>
    <w:pPr>
      <w:keepNext/>
      <w:outlineLvl w:val="4"/>
    </w:pPr>
    <w:rPr>
      <w:color w:val="333333"/>
      <w:sz w:val="24"/>
      <w:lang w:val="fr-FR"/>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Body Text"/>
    <w:basedOn w:val="1"/>
    <w:uiPriority w:val="0"/>
    <w:pPr>
      <w:jc w:val="center"/>
    </w:pPr>
    <w:rPr>
      <w:lang w:val="ro-RO"/>
    </w:rPr>
  </w:style>
  <w:style w:type="paragraph" w:styleId="5">
    <w:name w:val="Body Text 2"/>
    <w:basedOn w:val="1"/>
    <w:uiPriority w:val="0"/>
    <w:pPr>
      <w:jc w:val="center"/>
    </w:pPr>
    <w:rPr>
      <w:color w:val="333333"/>
      <w:lang w:val="ro-RO"/>
    </w:rPr>
  </w:style>
  <w:style w:type="paragraph" w:styleId="6">
    <w:name w:val="Body Text Indent"/>
    <w:basedOn w:val="1"/>
    <w:qFormat/>
    <w:uiPriority w:val="0"/>
    <w:pPr>
      <w:ind w:firstLine="720"/>
      <w:jc w:val="both"/>
    </w:pPr>
    <w:rPr>
      <w:color w:val="808080"/>
      <w:lang w:val="fr-F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2017-04-11T12:37:00Z</dcterms:created>
  <dc:creator>User</dc:creator>
  <cp:lastModifiedBy>User</cp:lastModifiedBy>
  <dcterms:modified xsi:type="dcterms:W3CDTF">2017-04-11T12:50:49Z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