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08" w:rsidRPr="00787D08" w:rsidRDefault="00787D08" w:rsidP="00787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08">
        <w:rPr>
          <w:rFonts w:ascii="Times New Roman" w:eastAsia="Times New Roman" w:hAnsi="Times New Roman" w:cs="Times New Roman"/>
          <w:b/>
          <w:bCs/>
          <w:sz w:val="24"/>
          <w:szCs w:val="24"/>
        </w:rPr>
        <w:t>Text extras din: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nr. 17/2014 -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Legea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nr. 17/2014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unele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măsuri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reglementare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vânzării-cumpărării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terenurilor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agricole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situate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extravilan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modificare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Legii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nr. 268/2001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privatizarea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societăţilor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comerciale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ce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deţin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administrare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terenuri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privată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statului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destinaţie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agricolă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înfiinţarea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Agenţiei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Domeniilor</w:t>
      </w:r>
      <w:proofErr w:type="spellEnd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i/>
          <w:iCs/>
          <w:sz w:val="24"/>
          <w:szCs w:val="24"/>
        </w:rPr>
        <w:t>Statului</w:t>
      </w:r>
      <w:proofErr w:type="spellEnd"/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ree#19"/>
      <w:r w:rsidRPr="00787D08">
        <w:rPr>
          <w:rFonts w:ascii="Times New Roman" w:eastAsia="Times New Roman" w:hAnsi="Times New Roman" w:cs="Times New Roman"/>
          <w:sz w:val="24"/>
          <w:szCs w:val="24"/>
        </w:rPr>
        <w:t>CAPITOLULIII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tree#20"/>
      <w:bookmarkEnd w:id="0"/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Art. 4. - </w:t>
      </w:r>
      <w:bookmarkStart w:id="2" w:name="tree#21"/>
      <w:bookmarkEnd w:id="1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Înstrainarea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se face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fond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forma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"lnk:LEG%20PRL%20287%202009%200" \o "Lege nr. 287/2009 -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nr. 287/2009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ooltip="Codul Civil 2009 - Parlamentul României" w:history="1">
        <w:proofErr w:type="spell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civil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coproprietarilor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arendasilor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proprietarilor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vecini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Agentia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Domeniilor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egale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tree#22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(2)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exceptie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dispozitiile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(1),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înstrainarea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agricole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situate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situri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arheologice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clasate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se face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"lnk:LEG%20PRL%20422%202001%200" \o "Lege nr. 422/2001 -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nr. </w:t>
      </w:r>
      <w:proofErr w:type="gram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422/2001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monumentelor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tree#23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(3)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Solicitarea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carte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funciara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translative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bunurile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imobile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deplin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bunei-credinte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contract,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profesionistul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instrumentator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descrierii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funciara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tree#24"/>
      <w:bookmarkEnd w:id="4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Art. 5. - </w:t>
      </w:r>
      <w:bookmarkStart w:id="6" w:name="tree#25"/>
      <w:bookmarkEnd w:id="5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bookmarkEnd w:id="6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"lnk:CIV%20PRL%201000000%202009%201" \o "Codul Civil 2009 -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art. </w:t>
      </w:r>
      <w:proofErr w:type="gram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1.669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ooltip="Lege nr. 287/2009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</w:t>
        </w:r>
        <w:proofErr w:type="gram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287/2009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ooltip="Codul Civil 2009 - Parlamentul României" w:history="1">
        <w:proofErr w:type="spell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civil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pronuntarea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hotarâri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judecatoresti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vânzare-cumparare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antecontractul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autentica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îndeplinite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9" w:tooltip="Lege nr. 17/2014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Lege nr. 17/2014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ooltip="Lege nr. 17/2014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tree#26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(2)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funciara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formulata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hotarârii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judecatoresti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respinge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îndeplinite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tree#27"/>
      <w:bookmarkEnd w:id="7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Art. 6. - </w:t>
      </w:r>
      <w:bookmarkStart w:id="9" w:name="tree#28"/>
      <w:bookmarkEnd w:id="8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derogare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bookmarkEnd w:id="9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"lnk:CIV%20PRL%201000000%202009%201" \o "Codul Civil 2009 -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art. 1.730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ooltip="Lege nr. 287/2009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 287/2009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înregistreaza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unitatii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extravilan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aducerii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cunostinta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însotita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doveditoare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tree#29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(2)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afiseze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tree#30"/>
      <w:bookmarkEnd w:id="10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(3)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central 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denumita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centrala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denumite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continuare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cuprinda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copiile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doveditoare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(1),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2" w:name="tree#31"/>
      <w:bookmarkEnd w:id="11"/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(4)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extinse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dosarului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(3),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centrala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au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afiseze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site-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15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tree#32"/>
      <w:bookmarkEnd w:id="12"/>
      <w:r w:rsidRPr="00787D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Art. 7. - </w:t>
      </w:r>
      <w:bookmarkStart w:id="14" w:name="tree#33"/>
      <w:bookmarkEnd w:id="13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Titularul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14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manifeste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acceptarea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înregistreze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24 de ore de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acceptarii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trimite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afisare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site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centrala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tree#34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(2)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15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multi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rang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diferit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acelasi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aceleasi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art. 4,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potential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cumparator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tree#35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(3)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16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multi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acelasi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rang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niciun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alt preemptor de rang superior nu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acceptat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acelasi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aceleasi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tree#36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(4)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17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un preemptor de rang inferior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superior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oferit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ceilalti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rang superior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accepta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relua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rang superior.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tree#37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(5)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(4)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singura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împlinirea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18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tree#38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(6)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(2), (3)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(5),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transmita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centrale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preemptorului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ales, potential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cumparator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verificarii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îndeplinirii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tree#39"/>
      <w:bookmarkEnd w:id="19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(7)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20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niciunul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titularii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cumpara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dispozitiilor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urmând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înstiinteze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primaria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hyperlink r:id="rId13" w:tooltip="Lege nr. 17/2014 - Parlamentul României" w:history="1">
        <w:proofErr w:type="spell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(1)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avantajoase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aratate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nulitatea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absoluta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tree#40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(8)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30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End w:id="21"/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instrText xml:space="preserve"> HYPERLINK "lnk:LEG%20PRL%2017%202014%200" \o "Lege nr. 17/2014 - Parlamentul României" </w:instrTex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alin</w:t>
      </w:r>
      <w:proofErr w:type="spell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(2)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10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art. </w:t>
      </w:r>
      <w:proofErr w:type="gramStart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hyperlink r:id="rId14" w:tooltip="Lege nr. 17/2014 - Parlamentul României" w:history="1">
        <w:proofErr w:type="spell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(5)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vânzatorul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modifica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înscrise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reia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înregistrare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15" w:tooltip="Lege nr. 17/2014 - Parlamentul României" w:history="1"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787D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</w:t>
        </w:r>
      </w:hyperlink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dispozitiilor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tree#41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Art. 8. - </w:t>
      </w:r>
      <w:bookmarkStart w:id="23" w:name="tree#42"/>
      <w:bookmarkEnd w:id="22"/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Dispozitiile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capitol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privitoare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completeaza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ref#C4"/>
      <w:bookmarkStart w:id="25" w:name="tree#43"/>
      <w:bookmarkEnd w:id="23"/>
      <w:bookmarkEnd w:id="24"/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08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br/>
        <w:t>CAPITOLULIV</w:t>
      </w:r>
      <w:r w:rsidRPr="00787D08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aplicarii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preemptiune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D08" w:rsidRPr="00787D08" w:rsidRDefault="00787D08" w:rsidP="0078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ref#A0"/>
      <w:bookmarkStart w:id="27" w:name="tree#44"/>
      <w:bookmarkEnd w:id="25"/>
      <w:bookmarkEnd w:id="26"/>
    </w:p>
    <w:p w:rsidR="00903114" w:rsidRDefault="00787D08" w:rsidP="00787D08">
      <w:pPr>
        <w:spacing w:after="0" w:line="240" w:lineRule="auto"/>
        <w:jc w:val="both"/>
      </w:pPr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   Art. 9. - </w:t>
      </w:r>
      <w:bookmarkStart w:id="28" w:name="ref#"/>
      <w:bookmarkStart w:id="29" w:name="tree#45"/>
      <w:bookmarkEnd w:id="27"/>
      <w:bookmarkEnd w:id="28"/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autentica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notarul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pronuntarii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instanta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hotarâri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judecatoresti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tine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pâna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la 30 de hectare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terenurile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suprafata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30 de hectare, de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7D08">
        <w:rPr>
          <w:rFonts w:ascii="Times New Roman" w:eastAsia="Times New Roman" w:hAnsi="Times New Roman" w:cs="Times New Roman"/>
          <w:sz w:val="24"/>
          <w:szCs w:val="24"/>
        </w:rPr>
        <w:t>centrala</w:t>
      </w:r>
      <w:proofErr w:type="spellEnd"/>
      <w:r w:rsidRPr="00787D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29"/>
    </w:p>
    <w:sectPr w:rsidR="00903114" w:rsidSect="00787D08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5C" w:rsidRDefault="00A21D5C" w:rsidP="00787D08">
      <w:pPr>
        <w:spacing w:after="0" w:line="240" w:lineRule="auto"/>
      </w:pPr>
      <w:r>
        <w:separator/>
      </w:r>
    </w:p>
  </w:endnote>
  <w:endnote w:type="continuationSeparator" w:id="0">
    <w:p w:rsidR="00A21D5C" w:rsidRDefault="00A21D5C" w:rsidP="007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5C" w:rsidRDefault="00A21D5C" w:rsidP="00787D08">
      <w:pPr>
        <w:spacing w:after="0" w:line="240" w:lineRule="auto"/>
      </w:pPr>
      <w:r>
        <w:separator/>
      </w:r>
    </w:p>
  </w:footnote>
  <w:footnote w:type="continuationSeparator" w:id="0">
    <w:p w:rsidR="00A21D5C" w:rsidRDefault="00A21D5C" w:rsidP="00787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D08"/>
    <w:rsid w:val="000B222E"/>
    <w:rsid w:val="000C7DA2"/>
    <w:rsid w:val="002A3F14"/>
    <w:rsid w:val="003D2EFF"/>
    <w:rsid w:val="0054218C"/>
    <w:rsid w:val="006B2722"/>
    <w:rsid w:val="00787D08"/>
    <w:rsid w:val="007B2CF9"/>
    <w:rsid w:val="00903114"/>
    <w:rsid w:val="009B16FA"/>
    <w:rsid w:val="009F0F2C"/>
    <w:rsid w:val="00A21D5C"/>
    <w:rsid w:val="00AF2711"/>
    <w:rsid w:val="00EB4FAF"/>
    <w:rsid w:val="00F9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itol">
    <w:name w:val="capitol"/>
    <w:basedOn w:val="DefaultParagraphFont"/>
    <w:rsid w:val="00787D08"/>
  </w:style>
  <w:style w:type="character" w:customStyle="1" w:styleId="articol">
    <w:name w:val="articol"/>
    <w:basedOn w:val="DefaultParagraphFont"/>
    <w:rsid w:val="00787D08"/>
  </w:style>
  <w:style w:type="character" w:customStyle="1" w:styleId="alineat">
    <w:name w:val="alineat"/>
    <w:basedOn w:val="DefaultParagraphFont"/>
    <w:rsid w:val="00787D08"/>
  </w:style>
  <w:style w:type="character" w:styleId="Hyperlink">
    <w:name w:val="Hyperlink"/>
    <w:basedOn w:val="DefaultParagraphFont"/>
    <w:uiPriority w:val="99"/>
    <w:semiHidden/>
    <w:unhideWhenUsed/>
    <w:rsid w:val="00787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D08"/>
  </w:style>
  <w:style w:type="paragraph" w:styleId="Footer">
    <w:name w:val="footer"/>
    <w:basedOn w:val="Normal"/>
    <w:link w:val="FooterChar"/>
    <w:uiPriority w:val="99"/>
    <w:semiHidden/>
    <w:unhideWhenUsed/>
    <w:rsid w:val="0078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nk:CIV%20PRL%201000000%202009%200" TargetMode="External"/><Relationship Id="rId13" Type="http://schemas.openxmlformats.org/officeDocument/2006/relationships/hyperlink" Target="lnk:LEG%20PRL%2017%202014%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lnk:LEG%20PRL%20287%202009%200" TargetMode="External"/><Relationship Id="rId12" Type="http://schemas.openxmlformats.org/officeDocument/2006/relationships/hyperlink" Target="lnk:LEG%20PRL%20287%202009%2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lnk:CIV%20PRL%201000000%202009%200" TargetMode="External"/><Relationship Id="rId11" Type="http://schemas.openxmlformats.org/officeDocument/2006/relationships/hyperlink" Target="lnk:LEG%20PRL%2017%202014%200" TargetMode="External"/><Relationship Id="rId5" Type="http://schemas.openxmlformats.org/officeDocument/2006/relationships/endnotes" Target="endnotes.xml"/><Relationship Id="rId15" Type="http://schemas.openxmlformats.org/officeDocument/2006/relationships/hyperlink" Target="lnk:LEG%20PRL%2017%202014%200" TargetMode="External"/><Relationship Id="rId10" Type="http://schemas.openxmlformats.org/officeDocument/2006/relationships/hyperlink" Target="lnk:LEG%20PRL%2017%202014%200" TargetMode="External"/><Relationship Id="rId4" Type="http://schemas.openxmlformats.org/officeDocument/2006/relationships/footnotes" Target="footnotes.xml"/><Relationship Id="rId9" Type="http://schemas.openxmlformats.org/officeDocument/2006/relationships/hyperlink" Target="lnk:LEG%20PRL%2017%202014%200" TargetMode="External"/><Relationship Id="rId14" Type="http://schemas.openxmlformats.org/officeDocument/2006/relationships/hyperlink" Target="lnk:LEG%20PRL%2017%202014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2014-04-23T09:35:00Z</dcterms:created>
  <dcterms:modified xsi:type="dcterms:W3CDTF">2014-04-23T09:36:00Z</dcterms:modified>
</cp:coreProperties>
</file>